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F11F73">
      <w:pPr>
        <w:shd w:val="clear" w:color="auto" w:fill="FFFFFF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00000" w:rsidRDefault="00F11F7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000000" w:rsidRDefault="00F11F7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Лаганского </w:t>
      </w:r>
    </w:p>
    <w:p w:rsidR="00000000" w:rsidRDefault="00F11F7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муниципального образования  </w:t>
      </w:r>
    </w:p>
    <w:p w:rsidR="00000000" w:rsidRDefault="00F11F73">
      <w:pPr>
        <w:tabs>
          <w:tab w:val="left" w:pos="4992"/>
          <w:tab w:val="left" w:pos="6816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Республики Калмыкия        </w:t>
      </w:r>
    </w:p>
    <w:p w:rsidR="00000000" w:rsidRDefault="00F11F73">
      <w:pPr>
        <w:tabs>
          <w:tab w:val="left" w:pos="4992"/>
        </w:tabs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от 02.10. 2017 г.  № 127</w:t>
      </w:r>
    </w:p>
    <w:p w:rsidR="00000000" w:rsidRDefault="00F11F73">
      <w:pPr>
        <w:jc w:val="right"/>
        <w:rPr>
          <w:rFonts w:ascii="Times New Roman" w:hAnsi="Times New Roman" w:cs="Times New Roman"/>
          <w:b/>
          <w:sz w:val="24"/>
          <w:szCs w:val="20"/>
        </w:rPr>
      </w:pPr>
    </w:p>
    <w:p w:rsidR="00000000" w:rsidRDefault="00F11F73">
      <w:pPr>
        <w:rPr>
          <w:rFonts w:ascii="Times New Roman" w:hAnsi="Times New Roman" w:cs="Times New Roman"/>
          <w:b/>
          <w:sz w:val="24"/>
          <w:szCs w:val="20"/>
        </w:rPr>
      </w:pPr>
    </w:p>
    <w:p w:rsidR="00000000" w:rsidRDefault="00F11F73">
      <w:pPr>
        <w:rPr>
          <w:rFonts w:ascii="Times New Roman" w:hAnsi="Times New Roman" w:cs="Times New Roman"/>
          <w:b/>
          <w:sz w:val="24"/>
          <w:szCs w:val="20"/>
        </w:rPr>
      </w:pPr>
    </w:p>
    <w:p w:rsidR="00000000" w:rsidRDefault="00F11F73">
      <w:pPr>
        <w:rPr>
          <w:rFonts w:ascii="Times New Roman" w:hAnsi="Times New Roman" w:cs="Times New Roman"/>
          <w:b/>
          <w:sz w:val="24"/>
          <w:szCs w:val="20"/>
        </w:rPr>
      </w:pPr>
    </w:p>
    <w:p w:rsidR="00000000" w:rsidRDefault="00F11F73">
      <w:pPr>
        <w:rPr>
          <w:rFonts w:ascii="Times New Roman" w:hAnsi="Times New Roman" w:cs="Times New Roman"/>
          <w:b/>
          <w:sz w:val="24"/>
          <w:szCs w:val="20"/>
        </w:rPr>
      </w:pPr>
    </w:p>
    <w:p w:rsidR="00000000" w:rsidRDefault="00F11F73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000000" w:rsidRDefault="00F11F73">
      <w:pPr>
        <w:tabs>
          <w:tab w:val="left" w:pos="3488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Муниципальная программа</w:t>
      </w:r>
    </w:p>
    <w:p w:rsidR="00000000" w:rsidRDefault="00F11F73">
      <w:pPr>
        <w:tabs>
          <w:tab w:val="left" w:pos="3488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00000" w:rsidRDefault="00F11F73">
      <w:pPr>
        <w:tabs>
          <w:tab w:val="left" w:pos="1936"/>
        </w:tabs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«Комплексное развитие систем коммунальной инфраструктуры на территории Лаганск</w:t>
      </w:r>
      <w:r>
        <w:rPr>
          <w:rFonts w:ascii="Times New Roman" w:hAnsi="Times New Roman" w:cs="Times New Roman"/>
          <w:b/>
          <w:sz w:val="36"/>
          <w:szCs w:val="36"/>
        </w:rPr>
        <w:t xml:space="preserve">ого городского муниципального образования Республики Калмыкия </w:t>
      </w:r>
    </w:p>
    <w:p w:rsidR="00000000" w:rsidRDefault="00F11F73">
      <w:pPr>
        <w:tabs>
          <w:tab w:val="left" w:pos="1936"/>
        </w:tabs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2018-2022 годы»</w:t>
      </w:r>
    </w:p>
    <w:p w:rsidR="00000000" w:rsidRDefault="00F11F7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0000" w:rsidRDefault="00F11F7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0000" w:rsidRDefault="00F11F73">
      <w:pPr>
        <w:rPr>
          <w:rFonts w:ascii="Times New Roman" w:hAnsi="Times New Roman" w:cs="Times New Roman"/>
          <w:b/>
          <w:sz w:val="36"/>
          <w:szCs w:val="36"/>
        </w:rPr>
      </w:pPr>
    </w:p>
    <w:p w:rsidR="00000000" w:rsidRDefault="00F11F73">
      <w:pPr>
        <w:rPr>
          <w:rFonts w:ascii="Times New Roman" w:hAnsi="Times New Roman" w:cs="Times New Roman"/>
          <w:b/>
          <w:sz w:val="36"/>
          <w:szCs w:val="36"/>
        </w:rPr>
      </w:pPr>
    </w:p>
    <w:p w:rsidR="00000000" w:rsidRDefault="00F11F73">
      <w:pPr>
        <w:rPr>
          <w:rFonts w:ascii="Times New Roman" w:hAnsi="Times New Roman" w:cs="Times New Roman"/>
          <w:b/>
          <w:sz w:val="36"/>
          <w:szCs w:val="36"/>
        </w:rPr>
      </w:pPr>
    </w:p>
    <w:p w:rsidR="00000000" w:rsidRDefault="00F11F73">
      <w:pPr>
        <w:rPr>
          <w:rFonts w:ascii="Times New Roman" w:hAnsi="Times New Roman" w:cs="Times New Roman"/>
          <w:b/>
          <w:sz w:val="36"/>
          <w:szCs w:val="36"/>
        </w:rPr>
      </w:pPr>
    </w:p>
    <w:p w:rsidR="00000000" w:rsidRDefault="00F11F73">
      <w:pPr>
        <w:tabs>
          <w:tab w:val="left" w:pos="44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</w:p>
    <w:p w:rsidR="00000000" w:rsidRDefault="00F11F73">
      <w:pPr>
        <w:tabs>
          <w:tab w:val="left" w:pos="4400"/>
        </w:tabs>
        <w:rPr>
          <w:rFonts w:ascii="Times New Roman" w:hAnsi="Times New Roman" w:cs="Times New Roman"/>
        </w:rPr>
      </w:pPr>
    </w:p>
    <w:p w:rsidR="00000000" w:rsidRDefault="00F11F73">
      <w:pPr>
        <w:tabs>
          <w:tab w:val="left" w:pos="4400"/>
        </w:tabs>
        <w:rPr>
          <w:rFonts w:ascii="Times New Roman" w:hAnsi="Times New Roman" w:cs="Times New Roman"/>
        </w:rPr>
      </w:pPr>
    </w:p>
    <w:p w:rsidR="00000000" w:rsidRDefault="00F11F73">
      <w:pPr>
        <w:tabs>
          <w:tab w:val="left" w:pos="4400"/>
        </w:tabs>
        <w:rPr>
          <w:rFonts w:ascii="Times New Roman" w:hAnsi="Times New Roman" w:cs="Times New Roman"/>
        </w:rPr>
      </w:pPr>
    </w:p>
    <w:p w:rsidR="00000000" w:rsidRDefault="00F11F73">
      <w:pPr>
        <w:tabs>
          <w:tab w:val="left" w:pos="44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г. Лагань, 2017г.</w:t>
      </w:r>
    </w:p>
    <w:p w:rsidR="00000000" w:rsidRDefault="00F11F73">
      <w:pPr>
        <w:spacing w:before="280" w:after="28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  <w:r>
        <w:rPr>
          <w:rFonts w:ascii="Times New Roman" w:hAnsi="Times New Roman" w:cs="Times New Roman"/>
          <w:b/>
          <w:sz w:val="24"/>
          <w:szCs w:val="24"/>
        </w:rPr>
        <w:br/>
        <w:t>муниципальной программы  «Комплексное развитие систем коммунальной инфраструкту</w:t>
      </w:r>
      <w:r>
        <w:rPr>
          <w:rFonts w:ascii="Times New Roman" w:hAnsi="Times New Roman" w:cs="Times New Roman"/>
          <w:b/>
          <w:sz w:val="24"/>
          <w:szCs w:val="24"/>
        </w:rPr>
        <w:t>ры на территории Лаганского городского муниципального образования Республики Калмыкия на 2018-2022 годы»</w:t>
      </w:r>
    </w:p>
    <w:p w:rsidR="00000000" w:rsidRDefault="00F11F73">
      <w:pPr>
        <w:spacing w:before="280" w:after="280" w:line="24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kern w:val="1"/>
          <w:sz w:val="24"/>
          <w:szCs w:val="24"/>
        </w:rPr>
      </w:pPr>
    </w:p>
    <w:tbl>
      <w:tblPr>
        <w:tblW w:w="0" w:type="auto"/>
        <w:tblInd w:w="-32" w:type="dxa"/>
        <w:tblLayout w:type="fixed"/>
        <w:tblLook w:val="0000"/>
      </w:tblPr>
      <w:tblGrid>
        <w:gridCol w:w="2270"/>
        <w:gridCol w:w="7690"/>
      </w:tblGrid>
      <w:tr w:rsidR="00000000">
        <w:trPr>
          <w:trHeight w:val="662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11F7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11F73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на территории Лаганского городского муниципального образования Республи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Калмыкия на 2018-2022 годы</w:t>
            </w:r>
          </w:p>
        </w:tc>
      </w:tr>
      <w:tr w:rsidR="00000000">
        <w:trPr>
          <w:trHeight w:val="604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11F7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11F7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Лаганского городского муниципального образования Республики Калмыкия (далее – Администрация Лаганского ГМО РК)</w:t>
            </w:r>
          </w:p>
        </w:tc>
      </w:tr>
      <w:tr w:rsidR="00000000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11F7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11F7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и организации, расположенные в г. Лагань 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согласованию)</w:t>
            </w:r>
          </w:p>
        </w:tc>
      </w:tr>
      <w:tr w:rsidR="00000000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11F7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 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11F73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качества жилищно-коммунальных услуг на основе самоокупаемости, энергоэффективности и надежности функционирования систем жилищно-коммунального комплекса для удовлетворения потребностей населения в жилищно-коммунальных услуга</w:t>
            </w:r>
            <w:r>
              <w:rPr>
                <w:rFonts w:ascii="Times New Roman" w:hAnsi="Times New Roman" w:cs="Times New Roman"/>
              </w:rPr>
              <w:t xml:space="preserve">х в соответствии с установленными нормативами и стандартами. </w:t>
            </w:r>
          </w:p>
          <w:p w:rsidR="00000000" w:rsidRDefault="00F11F7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безопасности, качества и уровня жизни населения</w:t>
            </w:r>
          </w:p>
        </w:tc>
      </w:tr>
      <w:tr w:rsidR="00000000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11F7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11F73">
            <w:pPr>
              <w:pStyle w:val="afb"/>
              <w:ind w:firstLine="2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повышение качества жилищно-коммунальных услуг на местном уровне путем строительства и реконструкции объектов жилищно-коммун</w:t>
            </w:r>
            <w:r>
              <w:rPr>
                <w:rFonts w:ascii="Times New Roman" w:hAnsi="Times New Roman" w:cs="Times New Roman"/>
              </w:rPr>
              <w:t>альной инфраструктуры на территории Лаганского района;</w:t>
            </w:r>
          </w:p>
          <w:p w:rsidR="00000000" w:rsidRDefault="00F11F7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комплексного развития систем коммунальной инфраструктуры на территории Лаганского городского муниципального образования Республики Калмыкия (далее – Лаганского ГМО РК)</w:t>
            </w:r>
          </w:p>
        </w:tc>
      </w:tr>
      <w:tr w:rsidR="00000000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11F7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оказатели эффективности реализации 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11F73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снижение уровня износа объектов коммунальной инфраструктуры;</w:t>
            </w:r>
          </w:p>
          <w:p w:rsidR="00000000" w:rsidRDefault="00F11F7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беспеченность бесперебойным водоснабжением и водоотведением потребителям г. Лагань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000000" w:rsidRDefault="00F11F7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воды;</w:t>
            </w:r>
          </w:p>
          <w:p w:rsidR="00000000" w:rsidRDefault="00F11F73">
            <w:pPr>
              <w:widowControl w:val="0"/>
              <w:shd w:val="clear" w:color="auto" w:fill="FFFFFF"/>
              <w:overflowPunct w:val="0"/>
              <w:autoSpaceDE w:val="0"/>
              <w:spacing w:before="2" w:after="0" w:line="276" w:lineRule="exact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- снижение аварийности систем коммунальны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х систем </w:t>
            </w:r>
          </w:p>
        </w:tc>
      </w:tr>
      <w:tr w:rsidR="00000000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11F7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11F7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2018-2022 годы, этапы реализации программы не выделяются </w:t>
            </w:r>
          </w:p>
        </w:tc>
      </w:tr>
      <w:tr w:rsidR="00000000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11F7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за счет средств бюджета муниципального образования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11F73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бюджетных ассигнований на реализацию муниципальной программы из средств бюджета Л</w:t>
            </w:r>
            <w:r>
              <w:rPr>
                <w:rFonts w:ascii="Times New Roman" w:hAnsi="Times New Roman" w:cs="Times New Roman"/>
              </w:rPr>
              <w:t>аганского ГМО РК составляет – 9907,7 тыс. руб.</w:t>
            </w:r>
          </w:p>
          <w:p w:rsidR="00000000" w:rsidRDefault="00F11F73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бюджетных ассигнований на реализацию муниципальной программы по годам составляет:</w:t>
            </w:r>
          </w:p>
          <w:p w:rsidR="00000000" w:rsidRDefault="00F11F73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 – 7907,7 тыс. рублей;</w:t>
            </w:r>
          </w:p>
          <w:p w:rsidR="00000000" w:rsidRDefault="00F11F73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 – 500,0 тыс. рублей;</w:t>
            </w:r>
          </w:p>
          <w:p w:rsidR="00000000" w:rsidRDefault="00F11F73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 – 500,0 тыс. рублей;</w:t>
            </w:r>
          </w:p>
          <w:p w:rsidR="00000000" w:rsidRDefault="00F11F73">
            <w:pPr>
              <w:pStyle w:val="a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 – 500,0 тыс. рублей;</w:t>
            </w:r>
          </w:p>
          <w:p w:rsidR="00000000" w:rsidRDefault="00F11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500,0 тыс. рублей.</w:t>
            </w:r>
          </w:p>
          <w:p w:rsidR="00000000" w:rsidRDefault="00F11F7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бюджета Лаганского ГМО РК на очередной финансовый год и плановый период.</w:t>
            </w:r>
          </w:p>
        </w:tc>
      </w:tr>
      <w:tr w:rsidR="00000000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11F73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результаты, оценка планируемой эффективности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11F73">
            <w:pPr>
              <w:pStyle w:val="afb"/>
              <w:ind w:firstLine="2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программы </w:t>
            </w:r>
            <w:r>
              <w:rPr>
                <w:rFonts w:ascii="Times New Roman" w:hAnsi="Times New Roman" w:cs="Times New Roman"/>
              </w:rPr>
              <w:t>позволит:</w:t>
            </w:r>
          </w:p>
          <w:p w:rsidR="00000000" w:rsidRDefault="00F11F73">
            <w:pPr>
              <w:pStyle w:val="afb"/>
              <w:ind w:firstLine="2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повысить удовлетворенность населения города Лагань уровнем жилищно-коммунального обслуживания;</w:t>
            </w:r>
          </w:p>
          <w:p w:rsidR="00000000" w:rsidRDefault="00F11F73">
            <w:pPr>
              <w:pStyle w:val="afb"/>
              <w:ind w:firstLine="279"/>
            </w:pPr>
            <w:r>
              <w:rPr>
                <w:rFonts w:ascii="Times New Roman" w:hAnsi="Times New Roman" w:cs="Times New Roman"/>
              </w:rPr>
              <w:t>- снизить уровень износа объектов коммунальной инфраструктуры и потерь при производстве, транспортировке и распределении коммунальных ресурсов на тер</w:t>
            </w:r>
            <w:r>
              <w:rPr>
                <w:rFonts w:ascii="Times New Roman" w:hAnsi="Times New Roman" w:cs="Times New Roman"/>
              </w:rPr>
              <w:t>ритории;</w:t>
            </w:r>
          </w:p>
          <w:p w:rsidR="00000000" w:rsidRDefault="00F11F73">
            <w:pPr>
              <w:spacing w:after="0" w:line="240" w:lineRule="auto"/>
              <w:jc w:val="both"/>
            </w:pPr>
          </w:p>
        </w:tc>
      </w:tr>
    </w:tbl>
    <w:p w:rsidR="00000000" w:rsidRDefault="00F11F73">
      <w:pPr>
        <w:pStyle w:val="1"/>
        <w:rPr>
          <w:rFonts w:ascii="Times New Roman" w:hAnsi="Times New Roman" w:cs="Times New Roman"/>
          <w:color w:val="auto"/>
        </w:rPr>
      </w:pPr>
      <w:bookmarkStart w:id="0" w:name="sub_1001"/>
    </w:p>
    <w:p w:rsidR="00000000" w:rsidRDefault="00F11F73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lastRenderedPageBreak/>
        <w:t>I. Общая характеристика сферы реализации муниципальной программы</w:t>
      </w:r>
    </w:p>
    <w:bookmarkEnd w:id="0"/>
    <w:p w:rsidR="00000000" w:rsidRDefault="00F11F73">
      <w:pPr>
        <w:widowControl w:val="0"/>
        <w:autoSpaceDE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«Комплексное развитие систем коммунальной инфраструктуры на территории Лаганского городского муниципального образования Республики Калмыкия на 2018-2022 го</w:t>
      </w:r>
      <w:r>
        <w:rPr>
          <w:rFonts w:ascii="Times New Roman" w:hAnsi="Times New Roman" w:cs="Times New Roman"/>
          <w:sz w:val="24"/>
          <w:szCs w:val="24"/>
        </w:rPr>
        <w:t>ды» (далее - программа) разработана в соответствии с Государственной программой "Повышение качества предоставления жилищно-коммунальных услуг, развитие инфраструктуры жилищно-коммунального комплекса Республики Калмыкия на 2013-2020 годы", утвержденной пост</w:t>
      </w:r>
      <w:r>
        <w:rPr>
          <w:rFonts w:ascii="Times New Roman" w:hAnsi="Times New Roman" w:cs="Times New Roman"/>
          <w:sz w:val="24"/>
          <w:szCs w:val="24"/>
        </w:rPr>
        <w:t>ановлением Правительства Республики Калмыкия от 11.07.2013 г. № 339, Государственной программой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</w:t>
      </w:r>
      <w:r>
        <w:rPr>
          <w:rFonts w:ascii="Times New Roman" w:hAnsi="Times New Roman" w:cs="Times New Roman"/>
          <w:sz w:val="24"/>
          <w:szCs w:val="24"/>
        </w:rPr>
        <w:t>а Российской Федерации от 15.04.2014 г. № 323.</w:t>
      </w:r>
    </w:p>
    <w:p w:rsidR="00000000" w:rsidRDefault="00F11F73">
      <w:pPr>
        <w:shd w:val="clear" w:color="auto" w:fill="FFFFFF"/>
        <w:spacing w:before="5" w:line="240" w:lineRule="auto"/>
        <w:ind w:left="43" w:right="26" w:firstLine="71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оммунальные услуги (холодное водоснабжение, водоотведение) оказываются специализированным и многоотраслевым предприятием – ООО «Водопроводстройсервис».</w:t>
      </w:r>
    </w:p>
    <w:p w:rsidR="00000000" w:rsidRDefault="00F11F73">
      <w:pPr>
        <w:shd w:val="clear" w:color="auto" w:fill="FFFFFF"/>
        <w:spacing w:line="240" w:lineRule="auto"/>
        <w:ind w:left="746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Жилищный фонд оборудован:</w:t>
      </w:r>
    </w:p>
    <w:p w:rsidR="00000000" w:rsidRDefault="00F11F73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spacing w:before="7" w:after="0" w:line="240" w:lineRule="auto"/>
        <w:ind w:left="756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газом - 100 %</w:t>
      </w:r>
    </w:p>
    <w:p w:rsidR="00000000" w:rsidRDefault="00F11F73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spacing w:after="0" w:line="240" w:lineRule="auto"/>
        <w:ind w:left="756"/>
        <w:contextualSpacing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централизованным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водоснабжением - 80 %</w:t>
      </w:r>
    </w:p>
    <w:p w:rsidR="00000000" w:rsidRDefault="00F11F73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spacing w:after="0" w:line="240" w:lineRule="auto"/>
        <w:ind w:left="75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электроэнергией - 100 %</w:t>
      </w:r>
    </w:p>
    <w:p w:rsidR="00000000" w:rsidRDefault="00F11F73">
      <w:pPr>
        <w:widowControl w:val="0"/>
        <w:numPr>
          <w:ilvl w:val="0"/>
          <w:numId w:val="3"/>
        </w:numPr>
        <w:shd w:val="clear" w:color="auto" w:fill="FFFFFF"/>
        <w:tabs>
          <w:tab w:val="left" w:pos="893"/>
        </w:tabs>
        <w:autoSpaceDE w:val="0"/>
        <w:spacing w:before="5" w:after="0" w:line="240" w:lineRule="auto"/>
        <w:ind w:left="756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канализацией -66 %</w:t>
      </w:r>
    </w:p>
    <w:p w:rsidR="00000000" w:rsidRDefault="00F11F73">
      <w:pPr>
        <w:shd w:val="clear" w:color="auto" w:fill="FFFFFF"/>
        <w:tabs>
          <w:tab w:val="left" w:pos="4001"/>
        </w:tabs>
        <w:spacing w:before="5" w:line="240" w:lineRule="auto"/>
        <w:ind w:left="754" w:right="883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По степени износа жилищный фонд характеризуется следующими данными: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до 30 % износа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65 % жилфонда</w:t>
      </w:r>
    </w:p>
    <w:p w:rsidR="00000000" w:rsidRDefault="00F11F73">
      <w:pPr>
        <w:shd w:val="clear" w:color="auto" w:fill="FFFFFF"/>
        <w:tabs>
          <w:tab w:val="left" w:pos="4037"/>
        </w:tabs>
        <w:spacing w:before="2" w:line="240" w:lineRule="auto"/>
        <w:ind w:left="758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от 30% до 60 % износа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22 % жилфонда</w:t>
      </w:r>
    </w:p>
    <w:p w:rsidR="00000000" w:rsidRDefault="00F11F73">
      <w:pPr>
        <w:shd w:val="clear" w:color="auto" w:fill="FFFFFF"/>
        <w:tabs>
          <w:tab w:val="left" w:pos="4063"/>
        </w:tabs>
        <w:spacing w:before="5" w:line="240" w:lineRule="auto"/>
        <w:ind w:left="7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от 60 и выше % износа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13 % жилфонда.</w:t>
      </w:r>
    </w:p>
    <w:p w:rsidR="00000000" w:rsidRDefault="00F11F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Изношенност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ь водопроводных сетей составляет: 32 км. – 100%, 8 км. – 80%, 7 км. – 40%, из-за чего образуются значительные потери воды. Изношенность канализационных сетей составляет 60%. </w:t>
      </w:r>
    </w:p>
    <w:p w:rsidR="00000000" w:rsidRDefault="00F11F73">
      <w:pPr>
        <w:shd w:val="clear" w:color="auto" w:fill="FFFFFF"/>
        <w:spacing w:line="240" w:lineRule="auto"/>
        <w:ind w:left="67" w:right="5" w:firstLine="720"/>
        <w:contextualSpacing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причина значительного износа и старения инженерных систем, является то, </w:t>
      </w:r>
      <w:r>
        <w:rPr>
          <w:rFonts w:ascii="Times New Roman" w:hAnsi="Times New Roman" w:cs="Times New Roman"/>
          <w:sz w:val="24"/>
          <w:szCs w:val="24"/>
        </w:rPr>
        <w:t xml:space="preserve">что в течении длительного времени финансирование на реконструкцию, развитие, ремонт основных средств практически не осуществлялось. </w:t>
      </w:r>
    </w:p>
    <w:p w:rsidR="00000000" w:rsidRDefault="00F11F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городе Лагани образовался сложный комплекс проблем, связанных с водообеспечением качественной водой. 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числу их следует, </w:t>
      </w:r>
      <w:r>
        <w:rPr>
          <w:rFonts w:ascii="Times New Roman" w:hAnsi="Times New Roman" w:cs="Times New Roman"/>
          <w:color w:val="000000"/>
          <w:sz w:val="24"/>
          <w:szCs w:val="24"/>
        </w:rPr>
        <w:t>прежде всего, отнести низкое качество воды источников водоснабжения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Износ очистных сооружений, использование хлора для обеззараживания воды отрицательно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сказывается на качестве воды. Необходимо строительство более прогрессивных очистных </w:t>
      </w:r>
      <w:r>
        <w:rPr>
          <w:rFonts w:ascii="Times New Roman" w:hAnsi="Times New Roman" w:cs="Times New Roman"/>
          <w:color w:val="000000"/>
          <w:sz w:val="24"/>
          <w:szCs w:val="24"/>
        </w:rPr>
        <w:t>схем получения пит</w:t>
      </w:r>
      <w:r>
        <w:rPr>
          <w:rFonts w:ascii="Times New Roman" w:hAnsi="Times New Roman" w:cs="Times New Roman"/>
          <w:color w:val="000000"/>
          <w:sz w:val="24"/>
          <w:szCs w:val="24"/>
        </w:rPr>
        <w:t>ьевой воды без применения хлора. В</w:t>
      </w:r>
      <w:r>
        <w:rPr>
          <w:rFonts w:ascii="Times New Roman" w:hAnsi="Times New Roman" w:cs="Times New Roman"/>
          <w:sz w:val="24"/>
          <w:szCs w:val="24"/>
        </w:rPr>
        <w:t>одозабор исходной воды производится насосной станцией первого подъема из открытого источника – Красинского водохранилища, подпитка которого осуществляется Оля - Каспийским каналом, протяженностью 62 км., водой из реки Волг</w:t>
      </w:r>
      <w:r>
        <w:rPr>
          <w:rFonts w:ascii="Times New Roman" w:hAnsi="Times New Roman" w:cs="Times New Roman"/>
          <w:sz w:val="24"/>
          <w:szCs w:val="24"/>
        </w:rPr>
        <w:t>а. В с. Джалыково Лаганского района осуществляется подъем воды канала насосной станцией. В результате большого расстояния транспортирования воды, наличия промежуточного водоема, плохого технического состояния канала, выноса им ила и грязи, и как результат,</w:t>
      </w:r>
      <w:r>
        <w:rPr>
          <w:rFonts w:ascii="Times New Roman" w:hAnsi="Times New Roman" w:cs="Times New Roman"/>
          <w:sz w:val="24"/>
          <w:szCs w:val="24"/>
        </w:rPr>
        <w:t xml:space="preserve"> большой заиленности и обмеления водохранилища, исходная вода приобретает высокую мутность, цветность, неприятный болотный вкус. Резервный открытый источник водоснабжения города Лагани – это насосная станция, сооруженная в 2002 году на Лаганском водохранил</w:t>
      </w:r>
      <w:r>
        <w:rPr>
          <w:rFonts w:ascii="Times New Roman" w:hAnsi="Times New Roman" w:cs="Times New Roman"/>
          <w:sz w:val="24"/>
          <w:szCs w:val="24"/>
        </w:rPr>
        <w:t xml:space="preserve">ище. В связи с высокой степенью заиленности и  обмеления Красинского и Лаганского водохранилищ для повышения качества исходной воды требуется проведение дноуглубительных работ в местах водозабора и русел их водоснабжения общей площадью 18 га, расчистки от </w:t>
      </w:r>
      <w:r>
        <w:rPr>
          <w:rFonts w:ascii="Times New Roman" w:hAnsi="Times New Roman" w:cs="Times New Roman"/>
          <w:sz w:val="24"/>
          <w:szCs w:val="24"/>
        </w:rPr>
        <w:t>растительности и ила, с установкой водосбросного сооружения и коллекторно-дренажной сети по береговой линии для понижения уровня грунтовых вод. Качество исходной воды в водохранилищах низкое из-за присутствия большого количества ила, микрофлоры и микрофаун</w:t>
      </w:r>
      <w:r>
        <w:rPr>
          <w:rFonts w:ascii="Times New Roman" w:hAnsi="Times New Roman" w:cs="Times New Roman"/>
          <w:sz w:val="24"/>
          <w:szCs w:val="24"/>
        </w:rPr>
        <w:t>ы. В результате отсутствия предварительных отстойников воды, не проведение коагуляции, исходная некачественная вода поступает в очистные сооружения, где из-за отработанного старого фильтроматериала в скорых фильтрах очистка воды практически не производится</w:t>
      </w:r>
      <w:r>
        <w:rPr>
          <w:rFonts w:ascii="Times New Roman" w:hAnsi="Times New Roman" w:cs="Times New Roman"/>
          <w:sz w:val="24"/>
          <w:szCs w:val="24"/>
        </w:rPr>
        <w:t xml:space="preserve">. В город Лагань поступает обеззараженная хлором вода по водопроводным сетям протяженностью 48 км., из которых изношены на 100% около 37 км. труб, смонтированных в 1978-1982 годах. Изношены и </w:t>
      </w:r>
      <w:r>
        <w:rPr>
          <w:rFonts w:ascii="Times New Roman" w:hAnsi="Times New Roman" w:cs="Times New Roman"/>
          <w:sz w:val="24"/>
          <w:szCs w:val="24"/>
        </w:rPr>
        <w:lastRenderedPageBreak/>
        <w:t>протекают на очистных сооружениях оба резервуара чистой воды, из</w:t>
      </w:r>
      <w:r>
        <w:rPr>
          <w:rFonts w:ascii="Times New Roman" w:hAnsi="Times New Roman" w:cs="Times New Roman"/>
          <w:sz w:val="24"/>
          <w:szCs w:val="24"/>
        </w:rPr>
        <w:t>ношены и протекают трубы, осветлители, фильтры; из-за течи резервуаров, износа водопроводных труб производится подсос грязи и песка, и дальнейшего  поступления их потребителю с водой.</w:t>
      </w:r>
    </w:p>
    <w:p w:rsidR="00000000" w:rsidRDefault="00F11F73">
      <w:pPr>
        <w:shd w:val="clear" w:color="auto" w:fill="FFFFFF"/>
        <w:spacing w:line="240" w:lineRule="auto"/>
        <w:ind w:left="19" w:right="74" w:firstLine="68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Мощность коммунальных водопроводов составляет 7 тыс. м3/сутки, общая про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тяженность водопроводных сетей 47 км. Системы централизованного водоснабжения имеются в г. Лагани. Снабжение питьевой водой охвачено 80% населения города.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Вода подается в город стабильно, однако водоводы и водопроводы, построенные 25-30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лет назад, работают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ненадежно, в связи с окончанием их нормативного срока эксплуатации. </w:t>
      </w:r>
      <w:r>
        <w:rPr>
          <w:rFonts w:ascii="Times New Roman" w:hAnsi="Times New Roman" w:cs="Times New Roman"/>
          <w:color w:val="000000"/>
          <w:sz w:val="24"/>
          <w:szCs w:val="24"/>
        </w:rPr>
        <w:t>Водопотребление на 1 человека в сутки в среднем по району составляет 70 литров. Характер и объем загрязнений поверхностных источников сильно изменились в худшую сторону. Действующая систе</w:t>
      </w:r>
      <w:r>
        <w:rPr>
          <w:rFonts w:ascii="Times New Roman" w:hAnsi="Times New Roman" w:cs="Times New Roman"/>
          <w:color w:val="000000"/>
          <w:sz w:val="24"/>
          <w:szCs w:val="24"/>
        </w:rPr>
        <w:t>ма водоснабжения находится в тяжелом состоянии, не соответствует современному техническому уровню. Изношенность водопроводных сооружений и сетей составляет 70-100%, из-за чего они ра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ботают на 30-50% от проектной мощности при значительных потерях воды.</w:t>
      </w:r>
    </w:p>
    <w:p w:rsidR="00000000" w:rsidRDefault="00F11F73">
      <w:pPr>
        <w:shd w:val="clear" w:color="auto" w:fill="FFFFFF"/>
        <w:spacing w:before="5" w:line="240" w:lineRule="auto"/>
        <w:ind w:left="38" w:right="53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hAnsi="Times New Roman" w:cs="Times New Roman"/>
          <w:color w:val="000000"/>
          <w:sz w:val="24"/>
          <w:szCs w:val="24"/>
        </w:rPr>
        <w:t>уются значительные капитальные вложения, чтобы провести реконструкцию и техническое перевооружение действующих систем водоснабжения, обустройство новых водоисточников и строительство объектов водоподготовки и очистки воды по специальным технологиям с довед</w:t>
      </w:r>
      <w:r>
        <w:rPr>
          <w:rFonts w:ascii="Times New Roman" w:hAnsi="Times New Roman" w:cs="Times New Roman"/>
          <w:color w:val="000000"/>
          <w:sz w:val="24"/>
          <w:szCs w:val="24"/>
        </w:rPr>
        <w:t>ением ее до требований ГОСТ «Вода питьевая».</w:t>
      </w:r>
    </w:p>
    <w:p w:rsidR="00000000" w:rsidRDefault="00F11F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разработанным и имеющимся семи проектам по реконструкции, новому строительству водопроводных сетей, канализации и очистных сооружений в связи с отсутствием источников финансирования строительно-монтажные рабо</w:t>
      </w:r>
      <w:r>
        <w:rPr>
          <w:rFonts w:ascii="Times New Roman" w:hAnsi="Times New Roman" w:cs="Times New Roman"/>
          <w:sz w:val="24"/>
          <w:szCs w:val="24"/>
        </w:rPr>
        <w:t>ты на объектах водоснабжения и водоотведения не ведутся. Также не ведутся работы по объектам незавершенного строительства.</w:t>
      </w:r>
    </w:p>
    <w:p w:rsidR="00000000" w:rsidRDefault="00F11F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вышесказанного имеем следующие проблемы:</w:t>
      </w:r>
    </w:p>
    <w:p w:rsidR="00000000" w:rsidRDefault="00F11F7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неудовлетворительное состояние хозяйственно - питьевого водоснабжения;</w:t>
      </w:r>
    </w:p>
    <w:p w:rsidR="00000000" w:rsidRDefault="00F11F7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неудовле</w:t>
      </w:r>
      <w:r>
        <w:rPr>
          <w:rFonts w:ascii="Times New Roman" w:hAnsi="Times New Roman" w:cs="Times New Roman"/>
          <w:sz w:val="24"/>
          <w:szCs w:val="24"/>
        </w:rPr>
        <w:t>творительное качество воды в водохранилищах;</w:t>
      </w:r>
    </w:p>
    <w:p w:rsidR="00000000" w:rsidRDefault="00F11F7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ухудшение технического состояния производственных фондов.</w:t>
      </w:r>
    </w:p>
    <w:p w:rsidR="00000000" w:rsidRDefault="00F11F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решения указанных проблем, повышения качества питьевой воды срочно необходимо проведение работ по реконструкции объектов водоснабжения и водоотведени</w:t>
      </w:r>
      <w:r>
        <w:rPr>
          <w:rFonts w:ascii="Times New Roman" w:hAnsi="Times New Roman" w:cs="Times New Roman"/>
          <w:sz w:val="24"/>
          <w:szCs w:val="24"/>
        </w:rPr>
        <w:t xml:space="preserve">я. </w:t>
      </w:r>
    </w:p>
    <w:p w:rsidR="00000000" w:rsidRDefault="00F11F73">
      <w:pPr>
        <w:shd w:val="clear" w:color="auto" w:fill="FFFFFF"/>
        <w:spacing w:line="240" w:lineRule="auto"/>
        <w:ind w:left="7" w:right="62" w:firstLine="718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Централизованная внутригородская система канализации с очистными сооружениями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 Лагань состоит из самотечных коллекторов протяженностью 2,464 км и напорных протяженностью 11,36 км, подающие канализационные воды на поля фильтрации. </w:t>
      </w:r>
    </w:p>
    <w:p w:rsidR="00000000" w:rsidRDefault="00F11F73">
      <w:pPr>
        <w:shd w:val="clear" w:color="auto" w:fill="FFFFFF"/>
        <w:spacing w:line="240" w:lineRule="auto"/>
        <w:ind w:left="22" w:firstLine="78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Анализ сложившейся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ситуации показывает, что техническое состояние коммунальной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инфраструктуры характеризуется значительным уровнем износа, большой аварийностью (за год регистрируется более 120 аварий и неисправностей), низким коэффициентом полезного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действия мощностей и боль</w:t>
      </w:r>
      <w:r>
        <w:rPr>
          <w:rFonts w:ascii="Times New Roman" w:hAnsi="Times New Roman" w:cs="Times New Roman"/>
          <w:color w:val="000000"/>
          <w:sz w:val="24"/>
          <w:szCs w:val="24"/>
        </w:rPr>
        <w:t>шими потерями энергоносителей.</w:t>
      </w:r>
    </w:p>
    <w:p w:rsidR="00000000" w:rsidRDefault="00F11F73">
      <w:pPr>
        <w:shd w:val="clear" w:color="auto" w:fill="FFFFFF"/>
        <w:spacing w:line="240" w:lineRule="auto"/>
        <w:ind w:left="48" w:right="26" w:firstLine="70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Коммунальные предприятия не имеют финансовых возможностей по замене и пере</w:t>
      </w:r>
      <w:r>
        <w:rPr>
          <w:rFonts w:ascii="Times New Roman" w:hAnsi="Times New Roman" w:cs="Times New Roman"/>
          <w:color w:val="000000"/>
          <w:sz w:val="24"/>
          <w:szCs w:val="24"/>
        </w:rPr>
        <w:t>вооружению основных фондов. Планово-предупредительный ремонт уступил место аварийно-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восстановительным работам. Вместо ежегодной замены 3-5% сетей, пере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кладываются 0,5%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их общей протяженности, что ведет к авариям и повреждениям на сетях и дополнительным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потерям ресурсов. </w:t>
      </w:r>
      <w:r>
        <w:rPr>
          <w:rFonts w:ascii="Times New Roman" w:hAnsi="Times New Roman" w:cs="Times New Roman"/>
          <w:color w:val="000000"/>
          <w:sz w:val="24"/>
          <w:szCs w:val="24"/>
        </w:rPr>
        <w:t>Все вышеперечисленное указывает на необходимость технического перевооружения, реконструкции тепловых, водопроводных систем и систем водо</w:t>
      </w:r>
      <w:r>
        <w:rPr>
          <w:rFonts w:ascii="Times New Roman" w:hAnsi="Times New Roman" w:cs="Times New Roman"/>
          <w:color w:val="000000"/>
          <w:sz w:val="24"/>
          <w:szCs w:val="24"/>
        </w:rPr>
        <w:t>отведения.</w:t>
      </w:r>
    </w:p>
    <w:p w:rsidR="00000000" w:rsidRDefault="00F11F73">
      <w:pPr>
        <w:shd w:val="clear" w:color="auto" w:fill="FFFFFF"/>
        <w:tabs>
          <w:tab w:val="left" w:pos="0"/>
        </w:tabs>
        <w:spacing w:line="240" w:lineRule="auto"/>
        <w:ind w:left="142" w:right="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В жилищной сфере не удалось в полной мере воспользоваться преимуществами конкурентных отношений в сфере управления и эксплуатации жилья, поскольку в условиях нестабильного и недостаточного финансирования оказалось невозможным добиться полноценн</w:t>
      </w:r>
      <w:r>
        <w:rPr>
          <w:rFonts w:ascii="Times New Roman" w:hAnsi="Times New Roman" w:cs="Times New Roman"/>
          <w:color w:val="000000"/>
          <w:sz w:val="24"/>
          <w:szCs w:val="24"/>
        </w:rPr>
        <w:t>ых договорных отношений.</w:t>
      </w:r>
    </w:p>
    <w:p w:rsidR="00000000" w:rsidRDefault="00F11F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 включает в себя комплекс мероприятий, направленных на модернизацию жилищно-коммунального комплекса, повышение надежности работы инфраструктуры жизнеобеспечения населенных пунктов, обеспечение комфортных и безопасных усло</w:t>
      </w:r>
      <w:r>
        <w:rPr>
          <w:rFonts w:ascii="Times New Roman" w:hAnsi="Times New Roman" w:cs="Times New Roman"/>
          <w:sz w:val="24"/>
          <w:szCs w:val="24"/>
        </w:rPr>
        <w:t>вий проживания граждан, экономическую устойчивость деятельности предприятий, оказывающих коммунальные услуги.</w:t>
      </w:r>
    </w:p>
    <w:p w:rsidR="00000000" w:rsidRDefault="00F11F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При исполнении программы будут проводиться мероприятия по сохранению и повышению качества имущества, находящегося в управлении организаций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предоставляющих коммунальные услуги, повышению эффективности деятельности данных предприятий, созданию благоприятных условий для привлечения инвестиций и финансового оздоровления в сфере предоставления жилищно-коммунальных услуг.</w:t>
      </w:r>
    </w:p>
    <w:p w:rsidR="00000000" w:rsidRDefault="00F11F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Улучшение жилищных услов</w:t>
      </w:r>
      <w:r>
        <w:rPr>
          <w:rFonts w:ascii="Times New Roman" w:hAnsi="Times New Roman" w:cs="Times New Roman"/>
          <w:sz w:val="24"/>
          <w:szCs w:val="24"/>
        </w:rPr>
        <w:t>ий и повышение качества услуг коммунального хозяйства - важные факторы, определяющие уровень жизни населения.</w:t>
      </w:r>
    </w:p>
    <w:p w:rsidR="00000000" w:rsidRDefault="00F11F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Основная проблема – низкое качество предоставляемых жилищно-коммунальных услуг, главным образом обусловлена сохраняющимся ростом морально-т</w:t>
      </w:r>
      <w:r>
        <w:rPr>
          <w:rFonts w:ascii="Times New Roman" w:hAnsi="Times New Roman" w:cs="Times New Roman"/>
          <w:sz w:val="24"/>
          <w:szCs w:val="24"/>
        </w:rPr>
        <w:t>ехнического износа  объектов коммунальной инфраструктуры и энергетики, что приводит к превышению темпов старения жилищно-коммунального комплекса над темпами его обновления.</w:t>
      </w:r>
    </w:p>
    <w:p w:rsidR="00000000" w:rsidRDefault="00F11F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Жилищно-коммунальные услуги - важнейшая составляющая часть системы жизнеобеспеч</w:t>
      </w:r>
      <w:r>
        <w:rPr>
          <w:rFonts w:ascii="Times New Roman" w:hAnsi="Times New Roman" w:cs="Times New Roman"/>
          <w:sz w:val="24"/>
          <w:szCs w:val="24"/>
        </w:rPr>
        <w:t>ения населения и достижение соответствующего качества предоставления услуг является важнейшей целью функционирования организации, входящей в систему жилищно-коммунального хозяйства.</w:t>
      </w:r>
    </w:p>
    <w:p w:rsidR="00000000" w:rsidRDefault="00F11F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Достижение качества предоставления жилищно-коммунальных услуг должн</w:t>
      </w:r>
      <w:r>
        <w:rPr>
          <w:rFonts w:ascii="Times New Roman" w:hAnsi="Times New Roman" w:cs="Times New Roman"/>
          <w:sz w:val="24"/>
          <w:szCs w:val="24"/>
        </w:rPr>
        <w:t>о сочетаться с оптимизацией затрат на их предоставление, что обусловлено монопольным положением организаций, действующих на рынке жилищно-коммунальных услуг.</w:t>
      </w:r>
    </w:p>
    <w:p w:rsidR="00000000" w:rsidRDefault="00F11F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Эффективная система качества должна удовлетворять запросы и ожидания потребителя и защища</w:t>
      </w:r>
      <w:r>
        <w:rPr>
          <w:rFonts w:ascii="Times New Roman" w:hAnsi="Times New Roman" w:cs="Times New Roman"/>
          <w:sz w:val="24"/>
          <w:szCs w:val="24"/>
        </w:rPr>
        <w:t xml:space="preserve">ть интересы поставщика (исполнителя) услуги. Хорошо структурированная система качества является надежным средством в деле оптимизации затрат и управления качеством. Предоставление качественной услуги должно быть выгодно и способствовать сокращению рисков. </w:t>
      </w:r>
      <w:r>
        <w:rPr>
          <w:rFonts w:ascii="Times New Roman" w:hAnsi="Times New Roman" w:cs="Times New Roman"/>
          <w:sz w:val="24"/>
          <w:szCs w:val="24"/>
        </w:rPr>
        <w:t>Риски, в данном случае связаны со здоровьем и безопасностью людей, штрафными санкциями за неудовлетворительное качество услуги, потерей репутации и, в конечном счете, потерей бизнеса.</w:t>
      </w:r>
    </w:p>
    <w:p w:rsidR="00000000" w:rsidRDefault="00F11F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Жилищно-коммунальная услуга должна отвечать следующим требованиям:</w:t>
      </w:r>
    </w:p>
    <w:p w:rsidR="00000000" w:rsidRDefault="00F11F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отвечать строго определенным потребностям заказчика (потребителя);</w:t>
      </w:r>
    </w:p>
    <w:p w:rsidR="00000000" w:rsidRDefault="00F11F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соответствовать действующим стандартам, техническим требованиям или условиям договора;</w:t>
      </w:r>
    </w:p>
    <w:p w:rsidR="00000000" w:rsidRDefault="00F11F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должна предлагаться потребителю на основании экономически обоснованного тарифа;</w:t>
      </w:r>
    </w:p>
    <w:p w:rsidR="00000000" w:rsidRDefault="00F11F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должна быть в</w:t>
      </w:r>
      <w:r>
        <w:rPr>
          <w:rFonts w:ascii="Times New Roman" w:hAnsi="Times New Roman" w:cs="Times New Roman"/>
          <w:sz w:val="24"/>
          <w:szCs w:val="24"/>
        </w:rPr>
        <w:t>ыгодной для исполнителя и доступной для потребителя.</w:t>
      </w:r>
    </w:p>
    <w:p w:rsidR="00000000" w:rsidRDefault="00F11F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На протяжении многих лет остается не решенной проблема, обуславливающая кризисное состояние жилищно-коммунального комплекса, следствием которых является:</w:t>
      </w:r>
    </w:p>
    <w:p w:rsidR="00000000" w:rsidRDefault="00F11F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высокая степень износа основных фондов </w:t>
      </w:r>
      <w:r>
        <w:rPr>
          <w:rFonts w:ascii="Times New Roman" w:hAnsi="Times New Roman" w:cs="Times New Roman"/>
          <w:sz w:val="24"/>
          <w:szCs w:val="24"/>
        </w:rPr>
        <w:t>отрасли (средний процент износа коммунальных инфраструктур составляет 75%);</w:t>
      </w:r>
    </w:p>
    <w:p w:rsidR="00000000" w:rsidRDefault="00F11F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большие потери ресурсов (при производстве и транспортировке энергоресурсов потери составляют до 30-40%);</w:t>
      </w:r>
    </w:p>
    <w:p w:rsidR="00000000" w:rsidRDefault="00F11F73">
      <w:pPr>
        <w:pStyle w:val="ConsPlusNormal"/>
        <w:widowControl/>
        <w:ind w:firstLine="540"/>
        <w:contextualSpacing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убыточность работающих предприятий в сфере ЖКХ. </w:t>
      </w:r>
    </w:p>
    <w:p w:rsidR="00000000" w:rsidRDefault="00F11F73">
      <w:pPr>
        <w:pStyle w:val="aff2"/>
        <w:ind w:firstLine="851"/>
        <w:contextualSpacing/>
        <w:jc w:val="both"/>
        <w:rPr>
          <w:rFonts w:cs="Times New Roman"/>
        </w:rPr>
      </w:pPr>
      <w:r>
        <w:rPr>
          <w:rFonts w:cs="Times New Roman"/>
        </w:rPr>
        <w:t>Актуальность разработк</w:t>
      </w:r>
      <w:r>
        <w:rPr>
          <w:rFonts w:cs="Times New Roman"/>
        </w:rPr>
        <w:t>и Программы обусловлена необходимостью эффективного выполнения органами местного самоуправления полномочий, определенных Федеральным законом от 06.10.2003г. № 131 «Об общих принципах организации местного самоуправления в Российской Федерации».</w:t>
      </w:r>
    </w:p>
    <w:p w:rsidR="00000000" w:rsidRDefault="00F11F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00000" w:rsidRDefault="00F11F73">
      <w:pPr>
        <w:pStyle w:val="1"/>
        <w:rPr>
          <w:rFonts w:ascii="Times New Roman" w:hAnsi="Times New Roman" w:cs="Times New Roman"/>
        </w:rPr>
      </w:pPr>
      <w:bookmarkStart w:id="1" w:name="sub_1002"/>
      <w:r>
        <w:rPr>
          <w:rFonts w:ascii="Times New Roman" w:hAnsi="Times New Roman" w:cs="Times New Roman"/>
          <w:color w:val="auto"/>
        </w:rPr>
        <w:t>I</w:t>
      </w:r>
      <w:r>
        <w:rPr>
          <w:rFonts w:ascii="Times New Roman" w:hAnsi="Times New Roman" w:cs="Times New Roman"/>
          <w:color w:val="auto"/>
        </w:rPr>
        <w:t>I. Приоритеты, цели и задачи программы</w:t>
      </w:r>
    </w:p>
    <w:bookmarkEnd w:id="1"/>
    <w:p w:rsidR="00000000" w:rsidRDefault="00F11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Приоритеты и цели государственной политики в жилищно-коммунальной сферах определены в соответствии с Указом Президента Российской Федерации от 07.05.2012 г. № 600 "О мерах по обеспечению граждан Российской Фед</w:t>
      </w:r>
      <w:r>
        <w:rPr>
          <w:rFonts w:ascii="Times New Roman" w:hAnsi="Times New Roman" w:cs="Times New Roman"/>
          <w:sz w:val="24"/>
          <w:szCs w:val="24"/>
        </w:rPr>
        <w:t xml:space="preserve">ерации доступным и комфортным жильем и повышению качества жилищно-коммунальных услуг",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17.11.2008 г. № 1662-р, Стратегией социально-экономического развития Республики Калмыкия на период до 2020 года, утвержденной постановлением Правительства Республики Калмыкия от 30.12.2008 г. № 465.</w:t>
      </w:r>
    </w:p>
    <w:p w:rsidR="00000000" w:rsidRDefault="00F11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Приоритетами государственной политики в жилищно-комму</w:t>
      </w:r>
      <w:r>
        <w:rPr>
          <w:rFonts w:ascii="Times New Roman" w:hAnsi="Times New Roman" w:cs="Times New Roman"/>
          <w:sz w:val="24"/>
          <w:szCs w:val="24"/>
        </w:rPr>
        <w:t>нальной сфере, направленными на достижение указанной стратегической цели, являются модернизация и повышение энергоэффективности объектов коммунального хозяйства.</w:t>
      </w:r>
    </w:p>
    <w:p w:rsidR="00000000" w:rsidRDefault="00F11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>
        <w:rPr>
          <w:rFonts w:ascii="Times New Roman" w:hAnsi="Times New Roman" w:cs="Times New Roman"/>
          <w:sz w:val="24"/>
          <w:szCs w:val="24"/>
        </w:rPr>
        <w:t>В целях обеспечения населения питьевой водой, соответствующей требованиям безопасности и</w:t>
      </w:r>
      <w:r>
        <w:rPr>
          <w:rFonts w:ascii="Times New Roman" w:hAnsi="Times New Roman" w:cs="Times New Roman"/>
          <w:sz w:val="24"/>
          <w:szCs w:val="24"/>
        </w:rPr>
        <w:t xml:space="preserve"> безвредности, установленным санитарно-эпидемиологическими правилами, особое внимание уделено модернизации систем водоснабжения, водоотведения и очистки сточных вод.</w:t>
      </w:r>
    </w:p>
    <w:p w:rsidR="00000000" w:rsidRDefault="00F11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В результате будут созданы благоприятные условия для реализации на территории райо</w:t>
      </w:r>
      <w:r>
        <w:rPr>
          <w:rFonts w:ascii="Times New Roman" w:hAnsi="Times New Roman" w:cs="Times New Roman"/>
          <w:sz w:val="24"/>
          <w:szCs w:val="24"/>
        </w:rPr>
        <w:t>на инвестиционных проектов на основе государственно-частного партнерства, что позволит осуществить масштабную модернизацию систем коммунальной инфраструктуры с использованием энергоэффективных и экологически чистых технологий, повысить надежность и эффекти</w:t>
      </w:r>
      <w:r>
        <w:rPr>
          <w:rFonts w:ascii="Times New Roman" w:hAnsi="Times New Roman" w:cs="Times New Roman"/>
          <w:sz w:val="24"/>
          <w:szCs w:val="24"/>
        </w:rPr>
        <w:t>вность производства и поставки коммунальных ресурсов.</w:t>
      </w:r>
    </w:p>
    <w:p w:rsidR="00000000" w:rsidRDefault="00F11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Таким образом, основными целями программы является повышение качества жилищно-коммунальных услуг на основе самоокупаемости, энергоэффективности и надежности функционирования систем жилищно-коммун</w:t>
      </w:r>
      <w:r>
        <w:rPr>
          <w:rFonts w:ascii="Times New Roman" w:hAnsi="Times New Roman" w:cs="Times New Roman"/>
          <w:sz w:val="24"/>
          <w:szCs w:val="24"/>
        </w:rPr>
        <w:t>ального комплекса для удовлетворения потребностей населения и хозяйственного комплекса города Лагань в жилищно-коммунальных услугах в соответствии с установленными нормативами и стандартами; повышение качества автомобильных дорог общего пользования для нас</w:t>
      </w:r>
      <w:r>
        <w:rPr>
          <w:rFonts w:ascii="Times New Roman" w:hAnsi="Times New Roman" w:cs="Times New Roman"/>
          <w:sz w:val="24"/>
          <w:szCs w:val="24"/>
        </w:rPr>
        <w:t>еления.</w:t>
      </w:r>
    </w:p>
    <w:p w:rsidR="00000000" w:rsidRDefault="00F11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Для достижения цели  программы необходимо решение следующих задач:</w:t>
      </w:r>
    </w:p>
    <w:p w:rsidR="00000000" w:rsidRDefault="00F11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доступности и качества жилищно-коммунальных услуг на местном уровне путем строительства, реконструкции и ремонта объектов жилищно-коммунальной инфраструктуры на т</w:t>
      </w:r>
      <w:r>
        <w:rPr>
          <w:rFonts w:ascii="Times New Roman" w:hAnsi="Times New Roman" w:cs="Times New Roman"/>
          <w:sz w:val="24"/>
          <w:szCs w:val="24"/>
        </w:rPr>
        <w:t>ерритории Лаганского ГМО РК;</w:t>
      </w:r>
    </w:p>
    <w:p w:rsidR="00000000" w:rsidRDefault="00F11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эффективности, качества и надежности поставки коммунальных ресурсов, в том числе путем привлечения долгосрочных частных инвестиций;</w:t>
      </w:r>
    </w:p>
    <w:p w:rsidR="00000000" w:rsidRDefault="00F11F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00000" w:rsidRDefault="00F11F73">
      <w:pPr>
        <w:pStyle w:val="1"/>
        <w:rPr>
          <w:rFonts w:ascii="Times New Roman" w:hAnsi="Times New Roman" w:cs="Times New Roman"/>
        </w:rPr>
      </w:pPr>
      <w:bookmarkStart w:id="2" w:name="sub_1003"/>
      <w:r>
        <w:rPr>
          <w:rFonts w:ascii="Times New Roman" w:hAnsi="Times New Roman" w:cs="Times New Roman"/>
          <w:color w:val="auto"/>
        </w:rPr>
        <w:t xml:space="preserve">III. Целевые показатели (индикаторы) программы </w:t>
      </w:r>
    </w:p>
    <w:p w:rsidR="00000000" w:rsidRDefault="00F11F7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Состав показателей (индикат</w:t>
      </w:r>
      <w:r>
        <w:rPr>
          <w:rFonts w:ascii="Times New Roman" w:hAnsi="Times New Roman" w:cs="Times New Roman"/>
          <w:sz w:val="24"/>
          <w:szCs w:val="24"/>
        </w:rPr>
        <w:t>оров) программы определен, исходя из принципа необходимости и достаточности информации для характеристики достижения целей и решения задач программы.</w:t>
      </w:r>
    </w:p>
    <w:p w:rsidR="00000000" w:rsidRPr="001D485E" w:rsidRDefault="00F11F73">
      <w:pPr>
        <w:pStyle w:val="1"/>
        <w:ind w:left="0"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Перечень целевых показателей (индикаторов) программы представлен в Приложении №1 к настоящей  программе.</w:t>
      </w:r>
    </w:p>
    <w:p w:rsidR="00000000" w:rsidRDefault="00F11F73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lang w:val="en-US"/>
        </w:rPr>
        <w:t>I</w:t>
      </w:r>
      <w:r>
        <w:rPr>
          <w:rFonts w:ascii="Times New Roman" w:hAnsi="Times New Roman" w:cs="Times New Roman"/>
          <w:color w:val="auto"/>
          <w:lang w:val="en-US"/>
        </w:rPr>
        <w:t>V</w:t>
      </w:r>
      <w:r>
        <w:rPr>
          <w:rFonts w:ascii="Times New Roman" w:hAnsi="Times New Roman" w:cs="Times New Roman"/>
          <w:color w:val="auto"/>
        </w:rPr>
        <w:t>. Сроки и этапы реализации программы</w:t>
      </w:r>
    </w:p>
    <w:p w:rsidR="00000000" w:rsidRPr="001D485E" w:rsidRDefault="00F11F73">
      <w:pPr>
        <w:spacing w:line="240" w:lineRule="auto"/>
        <w:ind w:firstLine="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 программы: 2018-2022 годы в один этап.</w:t>
      </w:r>
    </w:p>
    <w:p w:rsidR="00000000" w:rsidRDefault="00F11F73">
      <w:pPr>
        <w:widowControl w:val="0"/>
        <w:autoSpaceDE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End w:id="2"/>
      <w:r>
        <w:rPr>
          <w:rFonts w:ascii="Times New Roman" w:hAnsi="Times New Roman" w:cs="Times New Roman"/>
          <w:b/>
          <w:sz w:val="24"/>
          <w:szCs w:val="24"/>
        </w:rPr>
        <w:t>Основные мероприятия программы</w:t>
      </w:r>
    </w:p>
    <w:p w:rsidR="00000000" w:rsidRDefault="00F11F7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цели и решение задач подпрограммы осуществляется путем выполнения комплекса мероприятий, взаимосвязанных по срокам, р</w:t>
      </w:r>
      <w:r>
        <w:rPr>
          <w:rFonts w:ascii="Times New Roman" w:hAnsi="Times New Roman" w:cs="Times New Roman"/>
          <w:sz w:val="24"/>
          <w:szCs w:val="24"/>
        </w:rPr>
        <w:t>есурсам и исполнителям мероприятий программы.</w:t>
      </w:r>
    </w:p>
    <w:p w:rsidR="00000000" w:rsidRDefault="00F11F73">
      <w:pPr>
        <w:widowControl w:val="0"/>
        <w:autoSpaceDE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целями и задачами подпрограмма включает следующие мероприятия для её реализации:</w:t>
      </w:r>
    </w:p>
    <w:p w:rsidR="00000000" w:rsidRDefault="00F11F73">
      <w:pPr>
        <w:autoSpaceDE w:val="0"/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строительство, реконструкция и ремонт объектов коммунальной инфраструктуры;</w:t>
      </w:r>
    </w:p>
    <w:p w:rsidR="00000000" w:rsidRDefault="00F11F73">
      <w:pPr>
        <w:autoSpaceDE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основных средств дл</w:t>
      </w:r>
      <w:r>
        <w:rPr>
          <w:rFonts w:ascii="Times New Roman" w:hAnsi="Times New Roman" w:cs="Times New Roman"/>
          <w:sz w:val="24"/>
          <w:szCs w:val="24"/>
        </w:rPr>
        <w:t>я использования в сфере ЖКХ;</w:t>
      </w:r>
    </w:p>
    <w:p w:rsidR="00000000" w:rsidRDefault="00F11F73">
      <w:pPr>
        <w:autoSpaceDE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Основные мероприятия программы приведены в приложении  № 2 к муниципальной программе.</w:t>
      </w:r>
    </w:p>
    <w:p w:rsidR="00000000" w:rsidRDefault="00F11F73">
      <w:pPr>
        <w:pStyle w:val="1"/>
        <w:contextualSpacing/>
        <w:rPr>
          <w:rFonts w:eastAsia="Calibri" w:cs="Calibri"/>
          <w:color w:val="FF0000"/>
        </w:rPr>
      </w:pPr>
      <w:r>
        <w:rPr>
          <w:rFonts w:ascii="Times New Roman" w:hAnsi="Times New Roman" w:cs="Times New Roman"/>
          <w:color w:val="auto"/>
        </w:rPr>
        <w:t>V</w:t>
      </w:r>
      <w:r>
        <w:rPr>
          <w:rFonts w:ascii="Times New Roman" w:hAnsi="Times New Roman" w:cs="Times New Roman"/>
          <w:color w:val="auto"/>
          <w:lang w:val="en-US"/>
        </w:rPr>
        <w:t>I</w:t>
      </w:r>
      <w:r>
        <w:rPr>
          <w:rFonts w:ascii="Times New Roman" w:hAnsi="Times New Roman" w:cs="Times New Roman"/>
          <w:color w:val="auto"/>
        </w:rPr>
        <w:t>. Ресурсное обеспечение программы</w:t>
      </w:r>
    </w:p>
    <w:p w:rsidR="00000000" w:rsidRDefault="00F11F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/>
          <w:color w:val="FF0000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Финансирование мероприятий программы планируется за счет средств бюджета Лаганского ГМО РК и в</w:t>
      </w:r>
      <w:r>
        <w:rPr>
          <w:rFonts w:ascii="Times New Roman" w:hAnsi="Times New Roman" w:cs="Times New Roman"/>
          <w:sz w:val="24"/>
          <w:szCs w:val="24"/>
        </w:rPr>
        <w:t>небюджетных источников.</w:t>
      </w:r>
    </w:p>
    <w:p w:rsidR="00000000" w:rsidRDefault="00F11F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программы представлено в Приложении № 3 к настоящей  программе, в том числе по годам реализации программы.</w:t>
      </w:r>
    </w:p>
    <w:p w:rsidR="00000000" w:rsidRDefault="00F11F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Прогнозная (справочная) оценка ресурсного обеспечения реализации программы представлена в Приложении № </w:t>
      </w:r>
      <w:r>
        <w:rPr>
          <w:rFonts w:ascii="Times New Roman" w:hAnsi="Times New Roman" w:cs="Times New Roman"/>
          <w:sz w:val="24"/>
          <w:szCs w:val="24"/>
        </w:rPr>
        <w:t>4 к настоящей  программе, в том числе по годам реализации программы.</w:t>
      </w:r>
    </w:p>
    <w:p w:rsidR="00000000" w:rsidRDefault="00F11F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Предполагается, что при софинансировании отдельных мероприятий программы за счет внебюджетных источников будут использоваться, в том числе, различные инструменты государственн</w:t>
      </w:r>
      <w:r>
        <w:rPr>
          <w:rFonts w:ascii="Times New Roman" w:hAnsi="Times New Roman" w:cs="Times New Roman"/>
          <w:sz w:val="24"/>
          <w:szCs w:val="24"/>
        </w:rPr>
        <w:t>о-частного партнерства.</w:t>
      </w:r>
    </w:p>
    <w:p w:rsidR="00000000" w:rsidRDefault="00F11F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Планируемые объемы финансирования программы носят прогнозный характер. Они подлежат ежегодному уточнению при принятии бюджета Лаганского ГМО РК на очередной год и плановый период. Ежегодно при подготовке бюджетной заявки на о</w:t>
      </w:r>
      <w:r>
        <w:rPr>
          <w:rFonts w:ascii="Times New Roman" w:hAnsi="Times New Roman" w:cs="Times New Roman"/>
          <w:sz w:val="24"/>
          <w:szCs w:val="24"/>
        </w:rPr>
        <w:t>чередной финансовый год с учетом хода выполнения мероприятий программы уточняются размеры государственной и муниципальной поддержки, и меры по привлечению внебюджетных источников.</w:t>
      </w:r>
    </w:p>
    <w:p w:rsidR="00000000" w:rsidRDefault="00F11F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11F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sub_1012"/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Анализ рисков реализации программы и описание мер управления рисками р</w:t>
      </w:r>
      <w:r>
        <w:rPr>
          <w:rFonts w:ascii="Times New Roman" w:hAnsi="Times New Roman" w:cs="Times New Roman"/>
          <w:b/>
          <w:sz w:val="24"/>
          <w:szCs w:val="24"/>
        </w:rPr>
        <w:t>еализации программы</w:t>
      </w:r>
    </w:p>
    <w:bookmarkEnd w:id="3"/>
    <w:p w:rsidR="00000000" w:rsidRDefault="00F11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Высокий износ объектов коммунальной инфраструктуры, отсутствие достаточных средств на обновление основных фондов, неразвитая инженерная инфраструктура приводят к нерентабельной работе предприятий коммунального комплекса района.</w:t>
      </w:r>
    </w:p>
    <w:p w:rsidR="00000000" w:rsidRDefault="00F11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4" w:name="sub_1013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При реализации программы могут возникнуть следующие риски:</w:t>
      </w:r>
    </w:p>
    <w:p w:rsidR="00000000" w:rsidRDefault="00F11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недостаточное ресурсное обеспечение мероприятий программы;</w:t>
      </w:r>
    </w:p>
    <w:p w:rsidR="00000000" w:rsidRDefault="00F11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изменение принципов регулирования межбюджетных отношений в части финансирования мероприятий программы;</w:t>
      </w:r>
    </w:p>
    <w:p w:rsidR="00000000" w:rsidRDefault="00F11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резкое изменение эк</w:t>
      </w:r>
      <w:r>
        <w:rPr>
          <w:rFonts w:ascii="Times New Roman" w:hAnsi="Times New Roman" w:cs="Times New Roman"/>
          <w:sz w:val="24"/>
          <w:szCs w:val="24"/>
        </w:rPr>
        <w:t>ологических параметров, влияющих на строительство объектов.</w:t>
      </w:r>
    </w:p>
    <w:p w:rsidR="00000000" w:rsidRDefault="00F11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Риски, связанные с недостаточным ресурсным обеспечением мероприятий программы и недостатками в реализации исполнителями мероприятий программы, могут привести к созданию в рамках программы не</w:t>
      </w:r>
      <w:r>
        <w:rPr>
          <w:rFonts w:ascii="Times New Roman" w:hAnsi="Times New Roman" w:cs="Times New Roman"/>
          <w:sz w:val="24"/>
          <w:szCs w:val="24"/>
        </w:rPr>
        <w:t xml:space="preserve"> завершенных строительством объектов, невыполнению поставленных ею целей.</w:t>
      </w:r>
    </w:p>
    <w:p w:rsidR="00000000" w:rsidRDefault="00F11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Недостаточный мониторинг хода реализации программы может повлиять на объективность принятия решений при выполнении программных мероприятий, что приведет к отсутствию их привязк</w:t>
      </w:r>
      <w:r>
        <w:rPr>
          <w:rFonts w:ascii="Times New Roman" w:hAnsi="Times New Roman" w:cs="Times New Roman"/>
          <w:sz w:val="24"/>
          <w:szCs w:val="24"/>
        </w:rPr>
        <w:t>и к реальной ситуации в жилищно-коммунальной сфере.</w:t>
      </w:r>
    </w:p>
    <w:p w:rsidR="00000000" w:rsidRDefault="00F11F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Изменения в отраслевом и региональном законодательстве могут повлечь значительные изменения в структуре и содержании подпрограммы, принципах ее ресурсного обеспечения и механизмах реализации. </w:t>
      </w:r>
    </w:p>
    <w:p w:rsidR="00000000" w:rsidRDefault="00F11F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</w:t>
      </w:r>
      <w:r>
        <w:rPr>
          <w:rFonts w:ascii="Times New Roman" w:hAnsi="Times New Roman" w:cs="Times New Roman"/>
          <w:sz w:val="24"/>
          <w:szCs w:val="24"/>
        </w:rPr>
        <w:t>анизм управления настоящим риском реализации программы включает в себя ежегодную оценку производственных показателей программы и корректировку объема бюджетного финансирования мероприятий программы.</w:t>
      </w:r>
    </w:p>
    <w:p w:rsidR="00000000" w:rsidRDefault="00F11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11F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I. Конечные результаты и оценка эффективности</w:t>
      </w:r>
    </w:p>
    <w:p w:rsidR="00000000" w:rsidRDefault="00F11F73">
      <w:pPr>
        <w:widowControl w:val="0"/>
        <w:autoSpaceDE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100"/>
      <w:bookmarkEnd w:id="4"/>
      <w:r>
        <w:rPr>
          <w:rFonts w:ascii="Times New Roman" w:hAnsi="Times New Roman" w:cs="Times New Roman"/>
          <w:sz w:val="24"/>
          <w:szCs w:val="24"/>
        </w:rPr>
        <w:t>Ожидаем</w:t>
      </w:r>
      <w:r>
        <w:rPr>
          <w:rFonts w:ascii="Times New Roman" w:hAnsi="Times New Roman" w:cs="Times New Roman"/>
          <w:sz w:val="24"/>
          <w:szCs w:val="24"/>
        </w:rPr>
        <w:t>ые конечные результаты программы определены в ее паспорте.</w:t>
      </w:r>
    </w:p>
    <w:p w:rsidR="00000000" w:rsidRDefault="00F11F73">
      <w:pPr>
        <w:widowControl w:val="0"/>
        <w:autoSpaceDE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программы осуществляется с использованием показателей выполнения программы, мониторинга и оценки степени достижения целевых значений программы, на основе которых будет проводит</w:t>
      </w:r>
      <w:r>
        <w:rPr>
          <w:rFonts w:ascii="Times New Roman" w:hAnsi="Times New Roman" w:cs="Times New Roman"/>
          <w:sz w:val="24"/>
          <w:szCs w:val="24"/>
        </w:rPr>
        <w:t>ься анализ хода выполнения программы и приниматься оптимальные управленческие решения.</w:t>
      </w:r>
    </w:p>
    <w:p w:rsidR="00000000" w:rsidRDefault="00F11F73">
      <w:pPr>
        <w:tabs>
          <w:tab w:val="left" w:pos="851"/>
          <w:tab w:val="left" w:pos="993"/>
        </w:tabs>
        <w:autoSpaceDE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реализации  программы осуществляется по итогам ее исполнения за отчетный финансовый год в целях определения степени достижения целей и задач  програ</w:t>
      </w:r>
      <w:r>
        <w:rPr>
          <w:rFonts w:ascii="Times New Roman" w:hAnsi="Times New Roman" w:cs="Times New Roman"/>
          <w:sz w:val="24"/>
          <w:szCs w:val="24"/>
        </w:rPr>
        <w:t>ммы в соответствии с Порядком разработки, реализации, оценки эффективности и ведения реестра муниципальных программ Лаганского ГМО РК.</w:t>
      </w:r>
    </w:p>
    <w:p w:rsidR="00000000" w:rsidRDefault="00F11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103"/>
      <w:bookmarkEnd w:id="5"/>
    </w:p>
    <w:bookmarkEnd w:id="6"/>
    <w:p w:rsidR="00000000" w:rsidRDefault="00F11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11F73">
      <w:pPr>
        <w:spacing w:line="240" w:lineRule="auto"/>
        <w:ind w:left="52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11F73">
      <w:pPr>
        <w:sectPr w:rsidR="00000000">
          <w:pgSz w:w="11906" w:h="16838"/>
          <w:pgMar w:top="851" w:right="567" w:bottom="851" w:left="1701" w:header="720" w:footer="720" w:gutter="0"/>
          <w:cols w:space="720"/>
          <w:docGrid w:linePitch="360"/>
        </w:sectPr>
      </w:pPr>
    </w:p>
    <w:p w:rsidR="00000000" w:rsidRDefault="00F11F73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1</w:t>
      </w:r>
    </w:p>
    <w:p w:rsidR="00000000" w:rsidRDefault="00F11F73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к муниципальной программе «Комплексное развитие систем коммунальной </w:t>
      </w:r>
    </w:p>
    <w:p w:rsidR="00000000" w:rsidRDefault="00F11F73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инфраструктуры на территории Лаг</w:t>
      </w:r>
      <w:r>
        <w:rPr>
          <w:rFonts w:ascii="Times New Roman" w:hAnsi="Times New Roman" w:cs="Times New Roman"/>
          <w:sz w:val="18"/>
          <w:szCs w:val="18"/>
        </w:rPr>
        <w:t xml:space="preserve">анского городского муниципального образования </w:t>
      </w:r>
    </w:p>
    <w:p w:rsidR="00000000" w:rsidRDefault="00F11F73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Республики Калмыкия на 2018-2022 годы», </w:t>
      </w:r>
    </w:p>
    <w:p w:rsidR="00000000" w:rsidRDefault="00F11F73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утвержденной постановлением Администрации  Лаганского ГМО РК </w:t>
      </w:r>
    </w:p>
    <w:p w:rsidR="00000000" w:rsidRDefault="00F11F7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02.10.2017 г. № 127</w:t>
      </w:r>
    </w:p>
    <w:p w:rsidR="00000000" w:rsidRDefault="00F11F73">
      <w:pPr>
        <w:tabs>
          <w:tab w:val="left" w:pos="14580"/>
        </w:tabs>
        <w:ind w:right="5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00000" w:rsidRDefault="00F11F73">
      <w:pPr>
        <w:tabs>
          <w:tab w:val="left" w:pos="14580"/>
        </w:tabs>
        <w:ind w:right="584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составе и значениях целевых показателей (индикаторов) муниципальной про</w:t>
      </w:r>
      <w:r>
        <w:rPr>
          <w:rFonts w:ascii="Times New Roman" w:hAnsi="Times New Roman" w:cs="Times New Roman"/>
          <w:b/>
        </w:rPr>
        <w:t xml:space="preserve">граммы </w:t>
      </w:r>
    </w:p>
    <w:p w:rsidR="00000000" w:rsidRDefault="00F11F73">
      <w:pPr>
        <w:tabs>
          <w:tab w:val="left" w:pos="14580"/>
        </w:tabs>
        <w:ind w:right="584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</w:rPr>
        <w:t>«Комплексное развитие систем коммунальной инфраструктуры на территории Лаганского городского муниципального образования Республики Калмыкия на 2018-2022 годы»</w:t>
      </w:r>
    </w:p>
    <w:tbl>
      <w:tblPr>
        <w:tblW w:w="0" w:type="auto"/>
        <w:tblInd w:w="108" w:type="dxa"/>
        <w:tblLayout w:type="fixed"/>
        <w:tblLook w:val="0000"/>
      </w:tblPr>
      <w:tblGrid>
        <w:gridCol w:w="723"/>
        <w:gridCol w:w="709"/>
        <w:gridCol w:w="459"/>
        <w:gridCol w:w="3639"/>
        <w:gridCol w:w="1287"/>
        <w:gridCol w:w="1120"/>
        <w:gridCol w:w="1120"/>
        <w:gridCol w:w="1119"/>
        <w:gridCol w:w="1120"/>
        <w:gridCol w:w="1120"/>
        <w:gridCol w:w="1120"/>
        <w:gridCol w:w="1180"/>
      </w:tblGrid>
      <w:tr w:rsidR="00000000">
        <w:trPr>
          <w:cantSplit/>
          <w:trHeight w:val="23"/>
          <w:tblHeader/>
        </w:trPr>
        <w:tc>
          <w:tcPr>
            <w:tcW w:w="1432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45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63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целевого показателя (индик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атора)</w:t>
            </w:r>
          </w:p>
        </w:tc>
        <w:tc>
          <w:tcPr>
            <w:tcW w:w="128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899" w:type="dxa"/>
            <w:gridSpan w:val="7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000000">
        <w:trPr>
          <w:cantSplit/>
          <w:trHeight w:val="23"/>
          <w:tblHeader/>
        </w:trPr>
        <w:tc>
          <w:tcPr>
            <w:tcW w:w="1432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4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3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128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000000">
        <w:trPr>
          <w:cantSplit/>
          <w:trHeight w:val="23"/>
          <w:tblHeader/>
        </w:trPr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</w:p>
        </w:tc>
        <w:tc>
          <w:tcPr>
            <w:tcW w:w="45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363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128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</w:tr>
      <w:tr w:rsidR="00000000">
        <w:trPr>
          <w:cantSplit/>
          <w:trHeight w:val="421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12825" w:type="dxa"/>
            <w:gridSpan w:val="9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Муниципальная программа «Комплексное развитие систем коммунальной инфраструкту</w:t>
            </w:r>
            <w:r>
              <w:rPr>
                <w:rFonts w:ascii="Times New Roman" w:hAnsi="Times New Roman" w:cs="Times New Roman"/>
                <w:b/>
              </w:rPr>
              <w:t>ры на территории Лаганского городского муниципального образования Республики Калмыкия на 2018-2022 годы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00000">
        <w:trPr>
          <w:cantSplit/>
          <w:trHeight w:val="23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  <w:jc w:val="center"/>
            </w:pPr>
          </w:p>
        </w:tc>
        <w:tc>
          <w:tcPr>
            <w:tcW w:w="459" w:type="dxa"/>
            <w:tcBorders>
              <w:top w:val="single" w:sz="4" w:space="0" w:color="595959"/>
              <w:left w:val="single" w:sz="4" w:space="0" w:color="000000"/>
              <w:bottom w:val="single" w:sz="4" w:space="0" w:color="595959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  <w:jc w:val="center"/>
            </w:pPr>
          </w:p>
        </w:tc>
        <w:tc>
          <w:tcPr>
            <w:tcW w:w="12825" w:type="dxa"/>
            <w:gridSpan w:val="9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:rsidR="00000000" w:rsidRDefault="00F11F73">
            <w:pPr>
              <w:snapToGrid w:val="0"/>
              <w:spacing w:before="40" w:after="40" w:line="240" w:lineRule="auto"/>
              <w:jc w:val="center"/>
            </w:pPr>
          </w:p>
        </w:tc>
      </w:tr>
      <w:tr w:rsidR="00000000">
        <w:trPr>
          <w:cantSplit/>
          <w:trHeight w:val="23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4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F11F73">
            <w:pPr>
              <w:spacing w:before="40" w:after="4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износа коммунальной инфраструктуры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000000">
        <w:trPr>
          <w:cantSplit/>
          <w:trHeight w:val="23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4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F11F73">
            <w:pPr>
              <w:spacing w:before="40" w:after="40" w:line="240" w:lineRule="auto"/>
            </w:pPr>
            <w:r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Повышение качества воды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предписаний по качеству</w:t>
            </w: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0000">
        <w:trPr>
          <w:cantSplit/>
          <w:trHeight w:val="741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4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F11F73">
            <w:pPr>
              <w:spacing w:before="40" w:after="40" w:line="240" w:lineRule="auto"/>
            </w:pPr>
            <w:r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Обеспеченность бесперебойным водоснабжением и водоотведением потребителей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отключений</w:t>
            </w: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00000">
        <w:trPr>
          <w:cantSplit/>
          <w:trHeight w:val="494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4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F11F73">
            <w:pPr>
              <w:widowControl w:val="0"/>
              <w:shd w:val="clear" w:color="auto" w:fill="FFFFFF"/>
              <w:overflowPunct w:val="0"/>
              <w:autoSpaceDE w:val="0"/>
              <w:spacing w:before="2" w:after="0" w:line="276" w:lineRule="exact"/>
              <w:textAlignment w:val="baseline"/>
            </w:pPr>
            <w:r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Снижение аварийности систем коммунальных систем </w:t>
            </w:r>
          </w:p>
        </w:tc>
        <w:tc>
          <w:tcPr>
            <w:tcW w:w="12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аварий</w:t>
            </w: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000000" w:rsidRDefault="00F11F73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000000" w:rsidRDefault="00F11F73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000000" w:rsidRDefault="00F11F73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000000" w:rsidRDefault="00F11F73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000000" w:rsidRDefault="00F11F73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000000" w:rsidRDefault="00F11F73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000000" w:rsidRDefault="00F11F73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000000" w:rsidRDefault="00F11F73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000000" w:rsidRDefault="00F11F73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000000" w:rsidRDefault="00F11F73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lastRenderedPageBreak/>
        <w:tab/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Приложение № 2</w:t>
      </w:r>
    </w:p>
    <w:p w:rsidR="00000000" w:rsidRDefault="00F11F73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к муниципальной программе «Комплексное развитие систем коммунальной </w:t>
      </w:r>
    </w:p>
    <w:p w:rsidR="00000000" w:rsidRDefault="00F11F73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инфрас</w:t>
      </w:r>
      <w:r>
        <w:rPr>
          <w:rFonts w:ascii="Times New Roman" w:hAnsi="Times New Roman" w:cs="Times New Roman"/>
          <w:sz w:val="18"/>
          <w:szCs w:val="18"/>
        </w:rPr>
        <w:t xml:space="preserve">труктуры на территории Лаганского городского муниципального образования </w:t>
      </w:r>
    </w:p>
    <w:p w:rsidR="00000000" w:rsidRDefault="00F11F73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Республики Калмыкия на 2018-2022 годы», </w:t>
      </w:r>
    </w:p>
    <w:p w:rsidR="00000000" w:rsidRDefault="00F11F73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утвержденной постановлением Администрации  Лаганского ГМО РК </w:t>
      </w:r>
    </w:p>
    <w:p w:rsidR="00000000" w:rsidRDefault="00F11F7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от 02.10.2017 г. № 127</w:t>
      </w:r>
    </w:p>
    <w:p w:rsidR="00000000" w:rsidRDefault="00F11F73">
      <w:pPr>
        <w:spacing w:after="0"/>
        <w:ind w:right="11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муниципальной программы «Ко</w:t>
      </w:r>
      <w:r>
        <w:rPr>
          <w:rFonts w:ascii="Times New Roman" w:hAnsi="Times New Roman" w:cs="Times New Roman"/>
          <w:b/>
          <w:sz w:val="24"/>
          <w:szCs w:val="24"/>
        </w:rPr>
        <w:t xml:space="preserve">мплексное развитие систем коммунальной инфраструктуры на территории Лаганского городского муниципального образования Республики Калмыкия </w:t>
      </w:r>
    </w:p>
    <w:p w:rsidR="00000000" w:rsidRDefault="00F11F73">
      <w:pPr>
        <w:spacing w:after="0"/>
        <w:ind w:right="112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>на 2018-2022 годы»</w:t>
      </w:r>
    </w:p>
    <w:tbl>
      <w:tblPr>
        <w:tblW w:w="0" w:type="auto"/>
        <w:tblInd w:w="-489" w:type="dxa"/>
        <w:tblLayout w:type="fixed"/>
        <w:tblLook w:val="0000"/>
      </w:tblPr>
      <w:tblGrid>
        <w:gridCol w:w="507"/>
        <w:gridCol w:w="460"/>
        <w:gridCol w:w="507"/>
        <w:gridCol w:w="653"/>
        <w:gridCol w:w="3453"/>
        <w:gridCol w:w="3634"/>
        <w:gridCol w:w="1367"/>
        <w:gridCol w:w="3736"/>
        <w:gridCol w:w="1052"/>
      </w:tblGrid>
      <w:tr w:rsidR="00000000">
        <w:trPr>
          <w:cantSplit/>
          <w:trHeight w:val="23"/>
          <w:tblHeader/>
        </w:trPr>
        <w:tc>
          <w:tcPr>
            <w:tcW w:w="2127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345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подпрограммы, основного мероприятия, мероп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риятия</w:t>
            </w:r>
          </w:p>
        </w:tc>
        <w:tc>
          <w:tcPr>
            <w:tcW w:w="363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136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выполнения</w:t>
            </w:r>
          </w:p>
        </w:tc>
        <w:tc>
          <w:tcPr>
            <w:tcW w:w="373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052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Взаимосвязь с целевыми показателями (индикаторами)</w:t>
            </w:r>
          </w:p>
        </w:tc>
      </w:tr>
      <w:tr w:rsidR="00000000">
        <w:trPr>
          <w:cantSplit/>
          <w:trHeight w:val="23"/>
          <w:tblHeader/>
        </w:trPr>
        <w:tc>
          <w:tcPr>
            <w:tcW w:w="5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</w:p>
        </w:tc>
        <w:tc>
          <w:tcPr>
            <w:tcW w:w="5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</w:p>
        </w:tc>
        <w:tc>
          <w:tcPr>
            <w:tcW w:w="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345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363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136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373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105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</w:tr>
      <w:tr w:rsidR="00000000">
        <w:trPr>
          <w:trHeight w:val="23"/>
        </w:trPr>
        <w:tc>
          <w:tcPr>
            <w:tcW w:w="50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04</w:t>
            </w:r>
          </w:p>
        </w:tc>
        <w:tc>
          <w:tcPr>
            <w:tcW w:w="46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01</w:t>
            </w:r>
          </w:p>
        </w:tc>
        <w:tc>
          <w:tcPr>
            <w:tcW w:w="50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01</w:t>
            </w:r>
          </w:p>
        </w:tc>
        <w:tc>
          <w:tcPr>
            <w:tcW w:w="65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01</w:t>
            </w:r>
          </w:p>
        </w:tc>
        <w:tc>
          <w:tcPr>
            <w:tcW w:w="345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autoSpaceDE w:val="0"/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Строительство, реконструкция и ремонт объектов коммунальной инфраструктуры</w:t>
            </w:r>
          </w:p>
          <w:p w:rsidR="00000000" w:rsidRDefault="00F11F73">
            <w:pPr>
              <w:autoSpaceDE w:val="0"/>
              <w:spacing w:line="240" w:lineRule="auto"/>
              <w:contextualSpacing/>
            </w:pPr>
          </w:p>
        </w:tc>
        <w:tc>
          <w:tcPr>
            <w:tcW w:w="363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F11F73">
            <w:pPr>
              <w:spacing w:before="40" w:after="4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Лаганского ГМО РК, предприятия по договорам подряда (по согласованию).</w:t>
            </w:r>
          </w:p>
          <w:p w:rsidR="00000000" w:rsidRDefault="00F11F73">
            <w:pPr>
              <w:spacing w:before="40" w:after="40" w:line="240" w:lineRule="auto"/>
            </w:pPr>
          </w:p>
        </w:tc>
        <w:tc>
          <w:tcPr>
            <w:tcW w:w="136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2018-2022</w:t>
            </w:r>
          </w:p>
        </w:tc>
        <w:tc>
          <w:tcPr>
            <w:tcW w:w="3736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F11F73">
            <w:pPr>
              <w:pStyle w:val="af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удовлетворенности населения района уровнем коммунальных услуг, снижение потерь энергоресурсов и уменьшение количества аварий на объектах ЖКХ </w:t>
            </w:r>
          </w:p>
        </w:tc>
        <w:tc>
          <w:tcPr>
            <w:tcW w:w="105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00000">
        <w:trPr>
          <w:trHeight w:val="892"/>
        </w:trPr>
        <w:tc>
          <w:tcPr>
            <w:tcW w:w="5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4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01</w:t>
            </w:r>
          </w:p>
        </w:tc>
        <w:tc>
          <w:tcPr>
            <w:tcW w:w="5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01</w:t>
            </w:r>
          </w:p>
        </w:tc>
        <w:tc>
          <w:tcPr>
            <w:tcW w:w="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02</w:t>
            </w:r>
          </w:p>
        </w:tc>
        <w:tc>
          <w:tcPr>
            <w:tcW w:w="3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autoSpaceDE w:val="0"/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основных средств для использования в сфере ЖКХ</w:t>
            </w:r>
          </w:p>
        </w:tc>
        <w:tc>
          <w:tcPr>
            <w:tcW w:w="36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F11F73">
            <w:pPr>
              <w:spacing w:before="40" w:after="4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Лаганского ГМО РК, предприятия по договорам подряда (по согласованию).</w:t>
            </w:r>
          </w:p>
          <w:p w:rsidR="00000000" w:rsidRDefault="00F11F73">
            <w:pPr>
              <w:spacing w:before="40" w:after="40" w:line="240" w:lineRule="auto"/>
            </w:pPr>
          </w:p>
        </w:tc>
        <w:tc>
          <w:tcPr>
            <w:tcW w:w="1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2018-2022</w:t>
            </w:r>
          </w:p>
        </w:tc>
        <w:tc>
          <w:tcPr>
            <w:tcW w:w="3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F11F73">
            <w:pPr>
              <w:pStyle w:val="af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удовлетворенности населения района уровнем жилищно-коммунальных услуг </w:t>
            </w:r>
          </w:p>
        </w:tc>
        <w:tc>
          <w:tcPr>
            <w:tcW w:w="10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00000">
        <w:trPr>
          <w:trHeight w:val="23"/>
        </w:trPr>
        <w:tc>
          <w:tcPr>
            <w:tcW w:w="5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04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01</w:t>
            </w:r>
          </w:p>
        </w:tc>
        <w:tc>
          <w:tcPr>
            <w:tcW w:w="5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01</w:t>
            </w:r>
          </w:p>
        </w:tc>
        <w:tc>
          <w:tcPr>
            <w:tcW w:w="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03</w:t>
            </w:r>
          </w:p>
        </w:tc>
        <w:tc>
          <w:tcPr>
            <w:tcW w:w="3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autoSpaceDE w:val="0"/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инженерной инфраструктуры земельных участков, предоставляемых многодетным семьям</w:t>
            </w:r>
          </w:p>
          <w:p w:rsidR="00000000" w:rsidRDefault="00F11F73">
            <w:pPr>
              <w:spacing w:before="40" w:after="40" w:line="240" w:lineRule="auto"/>
            </w:pPr>
          </w:p>
        </w:tc>
        <w:tc>
          <w:tcPr>
            <w:tcW w:w="36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F11F73">
            <w:pPr>
              <w:spacing w:before="40" w:after="4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Лаганского ГМО РК, предприятия по договорам подряда (по согласованию).</w:t>
            </w:r>
          </w:p>
          <w:p w:rsidR="00000000" w:rsidRDefault="00F11F73">
            <w:pPr>
              <w:spacing w:before="40" w:after="40" w:line="240" w:lineRule="auto"/>
            </w:pPr>
          </w:p>
        </w:tc>
        <w:tc>
          <w:tcPr>
            <w:tcW w:w="1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2018-2022</w:t>
            </w:r>
          </w:p>
        </w:tc>
        <w:tc>
          <w:tcPr>
            <w:tcW w:w="3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pStyle w:val="af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инженерной инфраструктуры земельных участков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, предоставляемых многодетным семьям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00000">
        <w:trPr>
          <w:trHeight w:val="23"/>
        </w:trPr>
        <w:tc>
          <w:tcPr>
            <w:tcW w:w="5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04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01</w:t>
            </w:r>
          </w:p>
        </w:tc>
        <w:tc>
          <w:tcPr>
            <w:tcW w:w="5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01</w:t>
            </w:r>
          </w:p>
        </w:tc>
        <w:tc>
          <w:tcPr>
            <w:tcW w:w="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04</w:t>
            </w:r>
          </w:p>
        </w:tc>
        <w:tc>
          <w:tcPr>
            <w:tcW w:w="3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autoSpaceDE w:val="0"/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направленных на энергосбережение и повышение энергетической эффективности </w:t>
            </w:r>
          </w:p>
        </w:tc>
        <w:tc>
          <w:tcPr>
            <w:tcW w:w="36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F11F73">
            <w:pPr>
              <w:spacing w:before="40" w:after="4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Лаганского ГМО РК, предприятия по договорам подряда (по согласованию).</w:t>
            </w:r>
          </w:p>
          <w:p w:rsidR="00000000" w:rsidRDefault="00F11F73">
            <w:pPr>
              <w:spacing w:before="40" w:after="40" w:line="240" w:lineRule="auto"/>
            </w:pPr>
          </w:p>
        </w:tc>
        <w:tc>
          <w:tcPr>
            <w:tcW w:w="1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2018-2022</w:t>
            </w:r>
          </w:p>
        </w:tc>
        <w:tc>
          <w:tcPr>
            <w:tcW w:w="37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pStyle w:val="afb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энергоресурсов и улучшение состояния окружающей среды</w:t>
            </w:r>
          </w:p>
        </w:tc>
        <w:tc>
          <w:tcPr>
            <w:tcW w:w="10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</w:tbl>
    <w:p w:rsidR="00000000" w:rsidRDefault="00F11F73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000000" w:rsidRDefault="00F11F73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000000" w:rsidRDefault="00F11F73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000000" w:rsidRDefault="00F11F73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000000" w:rsidRDefault="00F11F73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000000" w:rsidRDefault="00F11F73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Приложение № 3</w:t>
      </w:r>
    </w:p>
    <w:p w:rsidR="00000000" w:rsidRDefault="00F11F73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к муниципальной программе «Комп</w:t>
      </w:r>
      <w:r>
        <w:rPr>
          <w:rFonts w:ascii="Times New Roman" w:hAnsi="Times New Roman" w:cs="Times New Roman"/>
          <w:sz w:val="18"/>
          <w:szCs w:val="18"/>
        </w:rPr>
        <w:t xml:space="preserve">лексное развитие систем коммунальной </w:t>
      </w:r>
    </w:p>
    <w:p w:rsidR="00000000" w:rsidRDefault="00F11F73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инфраструктуры на территории Лаганского городского муниципального образования </w:t>
      </w:r>
    </w:p>
    <w:p w:rsidR="00000000" w:rsidRDefault="00F11F73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Республики Калмыкия на 2018-2022 годы», </w:t>
      </w:r>
    </w:p>
    <w:p w:rsidR="00000000" w:rsidRDefault="00F11F73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утвержденной постановлением Администрации  Лаганского ГМО РК </w:t>
      </w:r>
    </w:p>
    <w:p w:rsidR="00000000" w:rsidRDefault="00F11F73">
      <w:pPr>
        <w:spacing w:line="240" w:lineRule="auto"/>
        <w:contextualSpacing/>
        <w:jc w:val="right"/>
      </w:pPr>
      <w:r>
        <w:rPr>
          <w:rFonts w:ascii="Times New Roman" w:hAnsi="Times New Roman" w:cs="Times New Roman"/>
          <w:sz w:val="18"/>
          <w:szCs w:val="18"/>
        </w:rPr>
        <w:t>от 02.10.2017 г. № 127</w:t>
      </w:r>
    </w:p>
    <w:p w:rsidR="00000000" w:rsidRDefault="00F11F73">
      <w:pPr>
        <w:spacing w:line="240" w:lineRule="auto"/>
        <w:contextualSpacing/>
        <w:jc w:val="right"/>
      </w:pPr>
    </w:p>
    <w:p w:rsidR="00000000" w:rsidRDefault="00F11F73">
      <w:pPr>
        <w:spacing w:line="240" w:lineRule="auto"/>
        <w:contextualSpacing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/>
        </w:rPr>
        <w:t>Ресурсное об</w:t>
      </w:r>
      <w:r>
        <w:rPr>
          <w:rFonts w:ascii="Times New Roman" w:hAnsi="Times New Roman" w:cs="Times New Roman"/>
          <w:b/>
        </w:rPr>
        <w:t>еспечение реализации муниципальной программы «Комплексное развитие систем коммунальной инфраструктуры на территории Лаганского городского муниципального образования Республики Калмыкия на 2018-2022 годы»</w:t>
      </w:r>
    </w:p>
    <w:tbl>
      <w:tblPr>
        <w:tblW w:w="0" w:type="auto"/>
        <w:tblInd w:w="-631" w:type="dxa"/>
        <w:tblLayout w:type="fixed"/>
        <w:tblLook w:val="0000"/>
      </w:tblPr>
      <w:tblGrid>
        <w:gridCol w:w="490"/>
        <w:gridCol w:w="432"/>
        <w:gridCol w:w="496"/>
        <w:gridCol w:w="567"/>
        <w:gridCol w:w="386"/>
        <w:gridCol w:w="2474"/>
        <w:gridCol w:w="2385"/>
        <w:gridCol w:w="684"/>
        <w:gridCol w:w="567"/>
        <w:gridCol w:w="450"/>
        <w:gridCol w:w="1134"/>
        <w:gridCol w:w="540"/>
        <w:gridCol w:w="999"/>
        <w:gridCol w:w="987"/>
        <w:gridCol w:w="975"/>
        <w:gridCol w:w="847"/>
        <w:gridCol w:w="1079"/>
      </w:tblGrid>
      <w:tr w:rsidR="00000000">
        <w:trPr>
          <w:cantSplit/>
          <w:trHeight w:val="548"/>
          <w:tblHeader/>
        </w:trPr>
        <w:tc>
          <w:tcPr>
            <w:tcW w:w="2371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247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/>
              <w:jc w:val="center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Наименов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ание муниципальной программы, подпрограммы, основного мероприятия, мероприятия</w:t>
            </w:r>
          </w:p>
        </w:tc>
        <w:tc>
          <w:tcPr>
            <w:tcW w:w="238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/>
              <w:jc w:val="center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3375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4887" w:type="dxa"/>
            <w:gridSpan w:val="5"/>
            <w:tcBorders>
              <w:top w:val="single" w:sz="4" w:space="0" w:color="000000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000000" w:rsidRDefault="00F11F7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Расходы бюджета муниципального образования по годам, </w:t>
            </w:r>
          </w:p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тыс. рублей</w:t>
            </w:r>
          </w:p>
        </w:tc>
      </w:tr>
      <w:tr w:rsidR="00000000">
        <w:trPr>
          <w:cantSplit/>
          <w:trHeight w:val="429"/>
          <w:tblHeader/>
        </w:trPr>
        <w:tc>
          <w:tcPr>
            <w:tcW w:w="4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МП</w:t>
            </w:r>
          </w:p>
        </w:tc>
        <w:tc>
          <w:tcPr>
            <w:tcW w:w="4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Пп</w:t>
            </w:r>
          </w:p>
        </w:tc>
        <w:tc>
          <w:tcPr>
            <w:tcW w:w="4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ОМ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М</w:t>
            </w:r>
          </w:p>
        </w:tc>
        <w:tc>
          <w:tcPr>
            <w:tcW w:w="3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</w:t>
            </w:r>
          </w:p>
        </w:tc>
        <w:tc>
          <w:tcPr>
            <w:tcW w:w="247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238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6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Рз</w:t>
            </w:r>
          </w:p>
        </w:tc>
        <w:tc>
          <w:tcPr>
            <w:tcW w:w="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ЦС</w:t>
            </w: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ВР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2018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ind w:left="-68"/>
              <w:jc w:val="center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2022</w:t>
            </w:r>
          </w:p>
        </w:tc>
      </w:tr>
      <w:tr w:rsidR="00000000">
        <w:trPr>
          <w:trHeight w:val="2166"/>
        </w:trPr>
        <w:tc>
          <w:tcPr>
            <w:tcW w:w="4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04</w:t>
            </w:r>
          </w:p>
        </w:tc>
        <w:tc>
          <w:tcPr>
            <w:tcW w:w="4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01</w:t>
            </w:r>
          </w:p>
        </w:tc>
        <w:tc>
          <w:tcPr>
            <w:tcW w:w="4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00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0000</w:t>
            </w:r>
          </w:p>
        </w:tc>
        <w:tc>
          <w:tcPr>
            <w:tcW w:w="3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«Комплексное развитие систем коммунальной инфраструктуры на территории Лаганского городского муниципального образования Республики Калмыкия на 2018-2022 годы»</w:t>
            </w:r>
          </w:p>
        </w:tc>
        <w:tc>
          <w:tcPr>
            <w:tcW w:w="23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790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7850215510</w:t>
            </w:r>
          </w:p>
          <w:p w:rsidR="00000000" w:rsidRDefault="00F11F73">
            <w:pPr>
              <w:spacing w:before="40" w:after="40" w:line="240" w:lineRule="auto"/>
              <w:jc w:val="center"/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9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9907,7</w:t>
            </w:r>
          </w:p>
        </w:tc>
        <w:tc>
          <w:tcPr>
            <w:tcW w:w="9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</w:tr>
      <w:tr w:rsidR="00000000">
        <w:trPr>
          <w:trHeight w:val="894"/>
        </w:trPr>
        <w:tc>
          <w:tcPr>
            <w:tcW w:w="4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04</w:t>
            </w:r>
          </w:p>
        </w:tc>
        <w:tc>
          <w:tcPr>
            <w:tcW w:w="4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01</w:t>
            </w:r>
          </w:p>
        </w:tc>
        <w:tc>
          <w:tcPr>
            <w:tcW w:w="4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0</w:t>
            </w:r>
          </w:p>
        </w:tc>
        <w:tc>
          <w:tcPr>
            <w:tcW w:w="2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autoSpaceDE w:val="0"/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Строительство, реконструкция и ремонт объектов коммунальной инфраструктуры</w:t>
            </w:r>
          </w:p>
        </w:tc>
        <w:tc>
          <w:tcPr>
            <w:tcW w:w="23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F11F73">
            <w:pPr>
              <w:spacing w:before="40" w:after="4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Лаганского ГМО РК, предприятия по договорам подряда </w:t>
            </w:r>
          </w:p>
        </w:tc>
        <w:tc>
          <w:tcPr>
            <w:tcW w:w="6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7850215510</w:t>
            </w:r>
          </w:p>
          <w:p w:rsidR="00000000" w:rsidRDefault="00F11F73">
            <w:pPr>
              <w:spacing w:before="40" w:after="40" w:line="240" w:lineRule="auto"/>
              <w:jc w:val="center"/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9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9557,7</w:t>
            </w:r>
          </w:p>
        </w:tc>
        <w:tc>
          <w:tcPr>
            <w:tcW w:w="9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sz w:val="18"/>
                <w:szCs w:val="18"/>
              </w:rPr>
              <w:t>150,0</w:t>
            </w:r>
          </w:p>
        </w:tc>
      </w:tr>
      <w:tr w:rsidR="00000000">
        <w:trPr>
          <w:trHeight w:val="713"/>
        </w:trPr>
        <w:tc>
          <w:tcPr>
            <w:tcW w:w="4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04</w:t>
            </w:r>
          </w:p>
        </w:tc>
        <w:tc>
          <w:tcPr>
            <w:tcW w:w="4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01</w:t>
            </w:r>
          </w:p>
        </w:tc>
        <w:tc>
          <w:tcPr>
            <w:tcW w:w="4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0</w:t>
            </w:r>
          </w:p>
        </w:tc>
        <w:tc>
          <w:tcPr>
            <w:tcW w:w="2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autoSpaceDE w:val="0"/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основных сре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дств для использования в сфере ЖКХ</w:t>
            </w:r>
          </w:p>
        </w:tc>
        <w:tc>
          <w:tcPr>
            <w:tcW w:w="23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F11F73">
            <w:pPr>
              <w:spacing w:before="40" w:after="4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Лаганского ГМО РК, предприятия по договорам подряда </w:t>
            </w:r>
          </w:p>
        </w:tc>
        <w:tc>
          <w:tcPr>
            <w:tcW w:w="6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7850215510</w:t>
            </w:r>
          </w:p>
          <w:p w:rsidR="00000000" w:rsidRDefault="00F11F73">
            <w:pPr>
              <w:spacing w:before="40" w:after="40" w:line="240" w:lineRule="auto"/>
              <w:jc w:val="center"/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00000">
        <w:trPr>
          <w:trHeight w:val="259"/>
        </w:trPr>
        <w:tc>
          <w:tcPr>
            <w:tcW w:w="4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04</w:t>
            </w:r>
          </w:p>
        </w:tc>
        <w:tc>
          <w:tcPr>
            <w:tcW w:w="4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01</w:t>
            </w:r>
          </w:p>
        </w:tc>
        <w:tc>
          <w:tcPr>
            <w:tcW w:w="4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0</w:t>
            </w:r>
          </w:p>
        </w:tc>
        <w:tc>
          <w:tcPr>
            <w:tcW w:w="2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autoSpaceDE w:val="0"/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инженерной инфраструктуры земельных участков, предоставляемых многодет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ным семьям</w:t>
            </w:r>
          </w:p>
        </w:tc>
        <w:tc>
          <w:tcPr>
            <w:tcW w:w="23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F11F73">
            <w:pPr>
              <w:spacing w:before="40" w:after="4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Лаганского ГМО РК, предприятия по договорам подряда </w:t>
            </w:r>
          </w:p>
        </w:tc>
        <w:tc>
          <w:tcPr>
            <w:tcW w:w="6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7850215510</w:t>
            </w:r>
          </w:p>
          <w:p w:rsidR="00000000" w:rsidRDefault="00F11F73">
            <w:pPr>
              <w:spacing w:before="40" w:after="40" w:line="240" w:lineRule="auto"/>
              <w:jc w:val="center"/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000000">
        <w:trPr>
          <w:trHeight w:val="259"/>
        </w:trPr>
        <w:tc>
          <w:tcPr>
            <w:tcW w:w="4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04</w:t>
            </w:r>
          </w:p>
        </w:tc>
        <w:tc>
          <w:tcPr>
            <w:tcW w:w="4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01</w:t>
            </w:r>
          </w:p>
        </w:tc>
        <w:tc>
          <w:tcPr>
            <w:tcW w:w="4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17"/>
                <w:szCs w:val="17"/>
              </w:rPr>
              <w:t>0</w:t>
            </w:r>
          </w:p>
        </w:tc>
        <w:tc>
          <w:tcPr>
            <w:tcW w:w="2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autoSpaceDE w:val="0"/>
              <w:spacing w:line="240" w:lineRule="auto"/>
              <w:contextualSpacing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Осуществление мероприятий направленных на энергосбережение и повышение энергетической эффективности</w:t>
            </w:r>
          </w:p>
        </w:tc>
        <w:tc>
          <w:tcPr>
            <w:tcW w:w="23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000000" w:rsidRDefault="00F11F73">
            <w:pPr>
              <w:spacing w:before="40" w:after="4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страция Лаганского ГМО РК, предприятия по договорам подряда </w:t>
            </w:r>
          </w:p>
        </w:tc>
        <w:tc>
          <w:tcPr>
            <w:tcW w:w="6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790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7850215510</w:t>
            </w:r>
          </w:p>
          <w:p w:rsidR="00000000" w:rsidRDefault="00F11F73">
            <w:pPr>
              <w:spacing w:before="40" w:after="40" w:line="240" w:lineRule="auto"/>
              <w:jc w:val="center"/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9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  <w:p w:rsidR="00000000" w:rsidRDefault="00F11F73">
            <w:pPr>
              <w:spacing w:before="40" w:after="40" w:line="240" w:lineRule="auto"/>
              <w:jc w:val="center"/>
            </w:pPr>
          </w:p>
        </w:tc>
        <w:tc>
          <w:tcPr>
            <w:tcW w:w="9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  <w:p w:rsidR="00000000" w:rsidRDefault="00F11F73">
            <w:pPr>
              <w:spacing w:before="40" w:after="40" w:line="240" w:lineRule="auto"/>
              <w:jc w:val="center"/>
            </w:pP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  <w:p w:rsidR="00000000" w:rsidRDefault="00F11F73">
            <w:pPr>
              <w:spacing w:before="40" w:after="40" w:line="240" w:lineRule="auto"/>
              <w:jc w:val="center"/>
            </w:pPr>
          </w:p>
        </w:tc>
        <w:tc>
          <w:tcPr>
            <w:tcW w:w="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  <w:p w:rsidR="00000000" w:rsidRDefault="00F11F73">
            <w:pPr>
              <w:spacing w:before="40" w:after="40" w:line="240" w:lineRule="auto"/>
              <w:jc w:val="center"/>
            </w:pPr>
          </w:p>
        </w:tc>
        <w:tc>
          <w:tcPr>
            <w:tcW w:w="10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  <w:p w:rsidR="00000000" w:rsidRDefault="00F11F73">
            <w:pPr>
              <w:spacing w:before="40" w:after="40" w:line="240" w:lineRule="auto"/>
              <w:jc w:val="center"/>
            </w:pPr>
          </w:p>
        </w:tc>
      </w:tr>
    </w:tbl>
    <w:p w:rsidR="00000000" w:rsidRDefault="00F11F73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000000" w:rsidRDefault="00F11F73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4</w:t>
      </w:r>
    </w:p>
    <w:p w:rsidR="00000000" w:rsidRDefault="00F11F73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к муниципальной программе «Комплексное развитие систем коммунальной </w:t>
      </w:r>
    </w:p>
    <w:p w:rsidR="00000000" w:rsidRDefault="00F11F73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инфраструктуры на территории Лаганского городс</w:t>
      </w:r>
      <w:r>
        <w:rPr>
          <w:rFonts w:ascii="Times New Roman" w:hAnsi="Times New Roman" w:cs="Times New Roman"/>
          <w:sz w:val="18"/>
          <w:szCs w:val="18"/>
        </w:rPr>
        <w:t xml:space="preserve">кого муниципального образования </w:t>
      </w:r>
    </w:p>
    <w:p w:rsidR="00000000" w:rsidRDefault="00F11F73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Республики Калмыкия на 2018-2022 годы», </w:t>
      </w:r>
    </w:p>
    <w:p w:rsidR="00000000" w:rsidRDefault="00F11F73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утвержденной постановлением Администрации  Лаганского ГМО РК </w:t>
      </w:r>
    </w:p>
    <w:p w:rsidR="00000000" w:rsidRDefault="00F11F73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02.10.2017 г. № 127</w:t>
      </w:r>
    </w:p>
    <w:p w:rsidR="00000000" w:rsidRDefault="00F11F73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000000" w:rsidRDefault="00F11F73">
      <w:pPr>
        <w:spacing w:before="280" w:after="28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</w:rPr>
        <w:t>Прогнозная (справочная) оценка ресурсного обеспечения реализации муниципальной программы «Компле</w:t>
      </w:r>
      <w:r>
        <w:rPr>
          <w:rFonts w:ascii="Times New Roman" w:hAnsi="Times New Roman" w:cs="Times New Roman"/>
          <w:b/>
        </w:rPr>
        <w:t>ксное развитие систем коммунальной инфраструктуры на территории Лаганского городского муниципального образования Республики Калмыкия на 2018-2022 годы»</w:t>
      </w:r>
    </w:p>
    <w:tbl>
      <w:tblPr>
        <w:tblW w:w="0" w:type="auto"/>
        <w:tblInd w:w="-631" w:type="dxa"/>
        <w:tblLayout w:type="fixed"/>
        <w:tblLook w:val="0000"/>
      </w:tblPr>
      <w:tblGrid>
        <w:gridCol w:w="724"/>
        <w:gridCol w:w="709"/>
        <w:gridCol w:w="2497"/>
        <w:gridCol w:w="4717"/>
        <w:gridCol w:w="1261"/>
        <w:gridCol w:w="1120"/>
        <w:gridCol w:w="1120"/>
        <w:gridCol w:w="1120"/>
        <w:gridCol w:w="1120"/>
        <w:gridCol w:w="1180"/>
      </w:tblGrid>
      <w:tr w:rsidR="00000000">
        <w:trPr>
          <w:cantSplit/>
          <w:trHeight w:val="23"/>
          <w:tblHeader/>
        </w:trPr>
        <w:tc>
          <w:tcPr>
            <w:tcW w:w="1433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49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471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FFFFFF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6921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Оценка расходов по годам, тыс. рублей</w:t>
            </w:r>
          </w:p>
        </w:tc>
      </w:tr>
      <w:tr w:rsidR="00000000">
        <w:trPr>
          <w:cantSplit/>
          <w:trHeight w:val="349"/>
          <w:tblHeader/>
        </w:trPr>
        <w:tc>
          <w:tcPr>
            <w:tcW w:w="1433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471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126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120" w:type="dxa"/>
            <w:vMerge w:val="restart"/>
            <w:tcBorders>
              <w:left w:val="single" w:sz="4" w:space="0" w:color="00000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20" w:type="dxa"/>
            <w:vMerge w:val="restart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2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2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8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000000">
        <w:trPr>
          <w:cantSplit/>
          <w:trHeight w:val="23"/>
          <w:tblHeader/>
        </w:trPr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</w:p>
        </w:tc>
        <w:tc>
          <w:tcPr>
            <w:tcW w:w="249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471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126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1120" w:type="dxa"/>
            <w:vMerge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1120" w:type="dxa"/>
            <w:vMerge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11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11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11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</w:tr>
      <w:tr w:rsidR="00000000">
        <w:trPr>
          <w:cantSplit/>
          <w:trHeight w:val="23"/>
        </w:trPr>
        <w:tc>
          <w:tcPr>
            <w:tcW w:w="72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9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pacing w:before="40" w:after="4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«Комплексное развитие систем коммунальной инфраструктуры на территории Лаганского городского муниципального образования Рес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публики Калмыкия на 2018-2022 годы»</w:t>
            </w: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pacing w:before="40" w:after="40" w:line="240" w:lineRule="auto"/>
            </w:pPr>
            <w:r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1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9907,7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t>7907,7</w:t>
            </w: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</w:tr>
      <w:tr w:rsidR="00000000">
        <w:trPr>
          <w:cantSplit/>
          <w:trHeight w:val="23"/>
        </w:trPr>
        <w:tc>
          <w:tcPr>
            <w:tcW w:w="7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70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pacing w:before="40" w:after="40" w:line="240" w:lineRule="auto"/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бюджет муниципального образования</w:t>
            </w:r>
          </w:p>
        </w:tc>
        <w:tc>
          <w:tcPr>
            <w:tcW w:w="1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  <w:jc w:val="center"/>
            </w:pP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  <w:jc w:val="center"/>
            </w:pP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  <w:jc w:val="center"/>
            </w:pP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  <w:jc w:val="center"/>
            </w:pP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  <w:jc w:val="center"/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</w:tr>
      <w:tr w:rsidR="00000000">
        <w:trPr>
          <w:cantSplit/>
          <w:trHeight w:val="23"/>
        </w:trPr>
        <w:tc>
          <w:tcPr>
            <w:tcW w:w="7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70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pacing w:before="40" w:after="40" w:line="240" w:lineRule="auto"/>
              <w:ind w:firstLine="170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в том числе:</w:t>
            </w:r>
          </w:p>
        </w:tc>
        <w:tc>
          <w:tcPr>
            <w:tcW w:w="1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  <w:jc w:val="right"/>
            </w:pP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000000" w:rsidRDefault="00F11F73">
            <w:pPr>
              <w:snapToGrid w:val="0"/>
              <w:spacing w:before="40" w:after="40" w:line="240" w:lineRule="auto"/>
              <w:jc w:val="right"/>
            </w:pP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  <w:jc w:val="right"/>
            </w:pP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  <w:jc w:val="right"/>
            </w:pP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  <w:jc w:val="right"/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  <w:jc w:val="right"/>
            </w:pPr>
          </w:p>
        </w:tc>
      </w:tr>
      <w:tr w:rsidR="00000000">
        <w:trPr>
          <w:cantSplit/>
          <w:trHeight w:val="23"/>
        </w:trPr>
        <w:tc>
          <w:tcPr>
            <w:tcW w:w="7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70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pacing w:before="40" w:after="40" w:line="240" w:lineRule="auto"/>
              <w:ind w:left="230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собственные средства бюджета муниципального образования</w:t>
            </w:r>
          </w:p>
        </w:tc>
        <w:tc>
          <w:tcPr>
            <w:tcW w:w="1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4467,7</w:t>
            </w: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2467,7</w:t>
            </w: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</w:tr>
      <w:tr w:rsidR="00000000">
        <w:trPr>
          <w:cantSplit/>
          <w:trHeight w:val="23"/>
        </w:trPr>
        <w:tc>
          <w:tcPr>
            <w:tcW w:w="7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70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pacing w:before="40" w:after="40" w:line="240" w:lineRule="auto"/>
              <w:ind w:left="230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су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бсидии из бюджета Республики Калмыкия</w:t>
            </w:r>
          </w:p>
        </w:tc>
        <w:tc>
          <w:tcPr>
            <w:tcW w:w="1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5440,0</w:t>
            </w: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000000" w:rsidRDefault="00F11F73">
            <w:pPr>
              <w:spacing w:before="40" w:after="40"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5440,0</w:t>
            </w: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  <w:jc w:val="right"/>
            </w:pP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  <w:jc w:val="right"/>
            </w:pP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  <w:jc w:val="right"/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  <w:jc w:val="right"/>
            </w:pPr>
          </w:p>
        </w:tc>
      </w:tr>
      <w:tr w:rsidR="00000000">
        <w:trPr>
          <w:cantSplit/>
          <w:trHeight w:val="23"/>
        </w:trPr>
        <w:tc>
          <w:tcPr>
            <w:tcW w:w="7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70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pacing w:before="40" w:after="40" w:line="240" w:lineRule="auto"/>
              <w:ind w:left="230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субвенции из бюджета Республики Калмыкия</w:t>
            </w:r>
          </w:p>
        </w:tc>
        <w:tc>
          <w:tcPr>
            <w:tcW w:w="1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  <w:jc w:val="right"/>
            </w:pP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000000" w:rsidRDefault="00F11F73">
            <w:pPr>
              <w:snapToGrid w:val="0"/>
              <w:spacing w:before="40" w:after="40" w:line="240" w:lineRule="auto"/>
              <w:jc w:val="right"/>
            </w:pP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  <w:jc w:val="right"/>
            </w:pP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  <w:jc w:val="right"/>
            </w:pP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  <w:jc w:val="right"/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  <w:jc w:val="right"/>
            </w:pPr>
          </w:p>
        </w:tc>
      </w:tr>
      <w:tr w:rsidR="00000000">
        <w:trPr>
          <w:cantSplit/>
          <w:trHeight w:val="23"/>
        </w:trPr>
        <w:tc>
          <w:tcPr>
            <w:tcW w:w="7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70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pacing w:before="40" w:after="40" w:line="240" w:lineRule="auto"/>
              <w:ind w:left="230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  <w:jc w:val="right"/>
            </w:pP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000000" w:rsidRDefault="00F11F73">
            <w:pPr>
              <w:snapToGrid w:val="0"/>
              <w:spacing w:before="40" w:after="40" w:line="240" w:lineRule="auto"/>
              <w:jc w:val="right"/>
            </w:pP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  <w:jc w:val="right"/>
            </w:pP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  <w:jc w:val="right"/>
            </w:pP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  <w:jc w:val="right"/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  <w:jc w:val="right"/>
            </w:pPr>
          </w:p>
        </w:tc>
      </w:tr>
      <w:tr w:rsidR="00000000">
        <w:trPr>
          <w:cantSplit/>
          <w:trHeight w:val="23"/>
        </w:trPr>
        <w:tc>
          <w:tcPr>
            <w:tcW w:w="7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70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pacing w:before="40" w:after="40" w:line="240" w:lineRule="auto"/>
              <w:ind w:left="230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субвенции из бюджетов поселений </w:t>
            </w:r>
          </w:p>
        </w:tc>
        <w:tc>
          <w:tcPr>
            <w:tcW w:w="1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pacing w:before="40" w:after="4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000000" w:rsidRDefault="00F11F73">
            <w:pPr>
              <w:spacing w:before="40" w:after="40" w:line="240" w:lineRule="auto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000000" w:rsidRDefault="00F11F73">
            <w:pPr>
              <w:snapToGrid w:val="0"/>
              <w:spacing w:before="40" w:after="40" w:line="240" w:lineRule="auto"/>
              <w:jc w:val="right"/>
            </w:pP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pacing w:before="40" w:after="40" w:line="240" w:lineRule="auto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pacing w:before="40" w:after="40" w:line="240" w:lineRule="auto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pacing w:before="40" w:after="40" w:line="240" w:lineRule="auto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pacing w:before="40" w:after="40" w:line="240" w:lineRule="auto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00000">
        <w:trPr>
          <w:cantSplit/>
          <w:trHeight w:val="23"/>
        </w:trPr>
        <w:tc>
          <w:tcPr>
            <w:tcW w:w="7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70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pacing w:before="40" w:after="40" w:line="240" w:lineRule="auto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  <w:jc w:val="right"/>
            </w:pP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000000" w:rsidRDefault="00F11F73">
            <w:pPr>
              <w:snapToGrid w:val="0"/>
              <w:spacing w:before="40" w:after="40" w:line="240" w:lineRule="auto"/>
              <w:jc w:val="right"/>
            </w:pP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  <w:jc w:val="right"/>
            </w:pP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  <w:jc w:val="right"/>
            </w:pP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  <w:jc w:val="right"/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  <w:jc w:val="right"/>
            </w:pPr>
          </w:p>
        </w:tc>
      </w:tr>
      <w:tr w:rsidR="00000000">
        <w:trPr>
          <w:cantSplit/>
          <w:trHeight w:val="23"/>
        </w:trPr>
        <w:tc>
          <w:tcPr>
            <w:tcW w:w="7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70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249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</w:pPr>
          </w:p>
        </w:tc>
        <w:tc>
          <w:tcPr>
            <w:tcW w:w="47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pacing w:before="40" w:after="40" w:line="240" w:lineRule="auto"/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иные источники</w:t>
            </w:r>
          </w:p>
        </w:tc>
        <w:tc>
          <w:tcPr>
            <w:tcW w:w="1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  <w:jc w:val="right"/>
            </w:pP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000000" w:rsidRDefault="00F11F73">
            <w:pPr>
              <w:snapToGrid w:val="0"/>
              <w:spacing w:before="40" w:after="40" w:line="240" w:lineRule="auto"/>
              <w:jc w:val="right"/>
            </w:pP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  <w:jc w:val="right"/>
            </w:pP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  <w:jc w:val="right"/>
            </w:pPr>
          </w:p>
        </w:tc>
        <w:tc>
          <w:tcPr>
            <w:tcW w:w="1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  <w:jc w:val="right"/>
            </w:pPr>
          </w:p>
        </w:tc>
        <w:tc>
          <w:tcPr>
            <w:tcW w:w="1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000000" w:rsidRDefault="00F11F73">
            <w:pPr>
              <w:snapToGrid w:val="0"/>
              <w:spacing w:before="40" w:after="40" w:line="240" w:lineRule="auto"/>
              <w:jc w:val="right"/>
            </w:pPr>
          </w:p>
        </w:tc>
      </w:tr>
    </w:tbl>
    <w:p w:rsidR="00F11F73" w:rsidRDefault="00F11F73">
      <w:pPr>
        <w:spacing w:before="280" w:after="280" w:line="240" w:lineRule="auto"/>
        <w:jc w:val="right"/>
      </w:pPr>
    </w:p>
    <w:sectPr w:rsidR="00F11F73">
      <w:footerReference w:type="default" r:id="rId7"/>
      <w:footerReference w:type="first" r:id="rId8"/>
      <w:pgSz w:w="16838" w:h="11906" w:orient="landscape"/>
      <w:pgMar w:top="851" w:right="678" w:bottom="851" w:left="1418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F73" w:rsidRDefault="00F11F73">
      <w:pPr>
        <w:spacing w:after="0" w:line="240" w:lineRule="auto"/>
      </w:pPr>
      <w:r>
        <w:separator/>
      </w:r>
    </w:p>
  </w:endnote>
  <w:endnote w:type="continuationSeparator" w:id="1">
    <w:p w:rsidR="00F11F73" w:rsidRDefault="00F1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11F73">
    <w:pPr>
      <w:pStyle w:val="a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11F73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F73" w:rsidRDefault="00F11F73">
      <w:pPr>
        <w:spacing w:after="0" w:line="240" w:lineRule="auto"/>
      </w:pPr>
      <w:r>
        <w:separator/>
      </w:r>
    </w:p>
  </w:footnote>
  <w:footnote w:type="continuationSeparator" w:id="1">
    <w:p w:rsidR="00F11F73" w:rsidRDefault="00F11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37"/>
        </w:tabs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85E"/>
    <w:rsid w:val="001D485E"/>
    <w:rsid w:val="00F11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autoSpaceDE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before="120" w:after="120" w:line="240" w:lineRule="auto"/>
      <w:outlineLvl w:val="1"/>
    </w:pPr>
    <w:rPr>
      <w:rFonts w:ascii="Arial" w:eastAsia="Calibri" w:hAnsi="Arial" w:cs="Arial"/>
      <w:b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20">
    <w:name w:val="Основной шрифт абзаца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Times New Roman" w:hAnsi="Times New Roman" w:cs="Times New Roman" w:hint="default"/>
      <w:b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ascii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  <w:color w:val="00000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hint="default"/>
      <w:color w:val="00000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St4z0">
    <w:name w:val="WW8NumSt4z0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Основной текст с отступом Знак"/>
    <w:basedOn w:val="10"/>
    <w:rPr>
      <w:rFonts w:ascii="Calibri" w:hAnsi="Calibri" w:cs="Times New Roman"/>
      <w:sz w:val="20"/>
      <w:szCs w:val="20"/>
    </w:rPr>
  </w:style>
  <w:style w:type="character" w:customStyle="1" w:styleId="21">
    <w:name w:val="Заголовок 2 Знак"/>
    <w:basedOn w:val="10"/>
    <w:rPr>
      <w:rFonts w:ascii="Arial" w:hAnsi="Arial" w:cs="Times New Roman"/>
      <w:b/>
      <w:sz w:val="28"/>
      <w:szCs w:val="28"/>
    </w:rPr>
  </w:style>
  <w:style w:type="character" w:customStyle="1" w:styleId="30">
    <w:name w:val="Заголовок 3 Знак"/>
    <w:basedOn w:val="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Гипертекстовая ссылка"/>
    <w:basedOn w:val="10"/>
    <w:rPr>
      <w:rFonts w:cs="Times New Roman"/>
      <w:b/>
      <w:bCs/>
      <w:color w:val="106BBE"/>
    </w:rPr>
  </w:style>
  <w:style w:type="character" w:customStyle="1" w:styleId="a6">
    <w:name w:val="Цветовое выделение"/>
    <w:rPr>
      <w:b/>
      <w:color w:val="000080"/>
    </w:rPr>
  </w:style>
  <w:style w:type="character" w:customStyle="1" w:styleId="ListParagraphChar">
    <w:name w:val="List Paragraph Char"/>
    <w:rPr>
      <w:rFonts w:ascii="Calibri" w:hAnsi="Calibri" w:cs="Calibri"/>
    </w:rPr>
  </w:style>
  <w:style w:type="character" w:customStyle="1" w:styleId="a7">
    <w:name w:val="Верхний колонтитул Знак"/>
    <w:basedOn w:val="10"/>
    <w:rPr>
      <w:rFonts w:ascii="Calibri" w:hAnsi="Calibri" w:cs="Times New Roman"/>
      <w:sz w:val="20"/>
      <w:szCs w:val="20"/>
    </w:rPr>
  </w:style>
  <w:style w:type="character" w:customStyle="1" w:styleId="a8">
    <w:name w:val="Нижний колонтитул Знак"/>
    <w:basedOn w:val="10"/>
    <w:rPr>
      <w:rFonts w:ascii="Calibri" w:hAnsi="Calibri" w:cs="Times New Roman"/>
      <w:sz w:val="20"/>
      <w:szCs w:val="20"/>
    </w:rPr>
  </w:style>
  <w:style w:type="character" w:customStyle="1" w:styleId="a9">
    <w:name w:val="Текст выноски Знак"/>
    <w:basedOn w:val="10"/>
    <w:rPr>
      <w:rFonts w:ascii="Tahoma" w:hAnsi="Tahoma" w:cs="Times New Roman"/>
      <w:sz w:val="16"/>
      <w:szCs w:val="16"/>
    </w:rPr>
  </w:style>
  <w:style w:type="character" w:styleId="aa">
    <w:name w:val="Hyperlink"/>
    <w:basedOn w:val="10"/>
    <w:rPr>
      <w:rFonts w:cs="Times New Roman"/>
      <w:color w:val="0000FF"/>
      <w:u w:val="single"/>
    </w:rPr>
  </w:style>
  <w:style w:type="character" w:customStyle="1" w:styleId="ab">
    <w:name w:val="Текст сноски Знак"/>
    <w:basedOn w:val="10"/>
    <w:rPr>
      <w:rFonts w:ascii="Times New Roman" w:hAnsi="Times New Roman" w:cs="Times New Roman"/>
      <w:sz w:val="20"/>
      <w:szCs w:val="20"/>
    </w:rPr>
  </w:style>
  <w:style w:type="character" w:customStyle="1" w:styleId="ac">
    <w:name w:val="Символ сноски"/>
    <w:basedOn w:val="10"/>
    <w:rPr>
      <w:rFonts w:cs="Times New Roman"/>
      <w:vertAlign w:val="superscript"/>
    </w:rPr>
  </w:style>
  <w:style w:type="character" w:customStyle="1" w:styleId="ad">
    <w:name w:val="Подзаголовок Знак"/>
    <w:basedOn w:val="1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ae">
    <w:name w:val="Название Знак"/>
    <w:basedOn w:val="10"/>
    <w:rPr>
      <w:rFonts w:ascii="Times New Roman" w:hAnsi="Times New Roman" w:cs="Times New Roman"/>
      <w:b/>
      <w:sz w:val="20"/>
      <w:szCs w:val="20"/>
      <w:u w:val="single"/>
      <w:lang w:bidi="ar-SA"/>
    </w:rPr>
  </w:style>
  <w:style w:type="character" w:customStyle="1" w:styleId="af">
    <w:name w:val="Основной текст Знак"/>
    <w:basedOn w:val="10"/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10"/>
    <w:rPr>
      <w:rFonts w:ascii="Times New Roman" w:hAnsi="Times New Roman" w:cs="Times New Roman"/>
      <w:sz w:val="24"/>
      <w:szCs w:val="24"/>
    </w:rPr>
  </w:style>
  <w:style w:type="character" w:customStyle="1" w:styleId="st">
    <w:name w:val="st"/>
  </w:style>
  <w:style w:type="character" w:styleId="af0">
    <w:name w:val="Emphasis"/>
    <w:basedOn w:val="10"/>
    <w:qFormat/>
    <w:rPr>
      <w:rFonts w:cs="Times New Roman"/>
      <w:i/>
    </w:rPr>
  </w:style>
  <w:style w:type="character" w:customStyle="1" w:styleId="apple-converted-space">
    <w:name w:val="apple-converted-space"/>
    <w:basedOn w:val="10"/>
    <w:rPr>
      <w:rFonts w:cs="Times New Roman"/>
    </w:rPr>
  </w:style>
  <w:style w:type="character" w:customStyle="1" w:styleId="af1">
    <w:name w:val="Текст Знак"/>
    <w:basedOn w:val="10"/>
    <w:rPr>
      <w:rFonts w:ascii="Courier New" w:hAnsi="Courier New" w:cs="Courier New"/>
      <w:lang w:val="ru-RU" w:bidi="ar-SA"/>
    </w:rPr>
  </w:style>
  <w:style w:type="character" w:customStyle="1" w:styleId="PlainTextChar">
    <w:name w:val="Plain Text Char"/>
    <w:basedOn w:val="10"/>
    <w:rPr>
      <w:rFonts w:ascii="Courier New" w:eastAsia="Times New Roman" w:hAnsi="Courier New" w:cs="Courier New"/>
      <w:sz w:val="20"/>
      <w:szCs w:val="20"/>
    </w:rPr>
  </w:style>
  <w:style w:type="character" w:customStyle="1" w:styleId="Mainheading">
    <w:name w:val="Main heading Знак"/>
    <w:rPr>
      <w:rFonts w:ascii="Arial" w:hAnsi="Arial" w:cs="Arial"/>
      <w:b/>
      <w:kern w:val="1"/>
      <w:sz w:val="32"/>
      <w:lang w:val="ru-RU"/>
    </w:rPr>
  </w:style>
  <w:style w:type="character" w:customStyle="1" w:styleId="7">
    <w:name w:val="Знак Знак7"/>
    <w:rPr>
      <w:sz w:val="24"/>
      <w:lang w:val="ru-RU"/>
    </w:rPr>
  </w:style>
  <w:style w:type="character" w:customStyle="1" w:styleId="Major">
    <w:name w:val="Major Знак"/>
    <w:rPr>
      <w:rFonts w:ascii="Arial" w:eastAsia="Times New Roman" w:hAnsi="Arial" w:cs="Arial"/>
      <w:b/>
      <w:sz w:val="28"/>
      <w:lang w:val="ru-RU"/>
    </w:rPr>
  </w:style>
  <w:style w:type="character" w:customStyle="1" w:styleId="31">
    <w:name w:val="Знак Знак3"/>
    <w:rPr>
      <w:sz w:val="28"/>
      <w:lang w:val="ru-RU"/>
    </w:rPr>
  </w:style>
  <w:style w:type="character" w:styleId="af2">
    <w:name w:val="page number"/>
    <w:basedOn w:val="10"/>
    <w:rPr>
      <w:rFonts w:cs="Times New Roman"/>
    </w:rPr>
  </w:style>
  <w:style w:type="character" w:customStyle="1" w:styleId="6">
    <w:name w:val="Знак Знак6"/>
    <w:rPr>
      <w:rFonts w:ascii="Calibri" w:eastAsia="Times New Roman" w:hAnsi="Calibri" w:cs="Calibri"/>
      <w:sz w:val="22"/>
      <w:lang w:val="ru-RU"/>
    </w:rPr>
  </w:style>
  <w:style w:type="character" w:customStyle="1" w:styleId="5">
    <w:name w:val="Знак Знак5"/>
    <w:rPr>
      <w:rFonts w:eastAsia="Times New Roman"/>
    </w:rPr>
  </w:style>
  <w:style w:type="character" w:customStyle="1" w:styleId="40">
    <w:name w:val="Знак Знак4"/>
    <w:rPr>
      <w:rFonts w:ascii="Tahoma" w:eastAsia="Times New Roman" w:hAnsi="Tahoma" w:cs="Tahoma"/>
      <w:sz w:val="16"/>
      <w:lang w:val="ru-RU"/>
    </w:rPr>
  </w:style>
  <w:style w:type="character" w:customStyle="1" w:styleId="23">
    <w:name w:val="Знак Знак2"/>
    <w:rPr>
      <w:rFonts w:eastAsia="Times New Roman"/>
      <w:b/>
      <w:sz w:val="22"/>
      <w:u w:val="single"/>
      <w:lang w:val="ru-RU" w:bidi="ar-SA"/>
    </w:rPr>
  </w:style>
  <w:style w:type="character" w:customStyle="1" w:styleId="12">
    <w:name w:val="Основной текст1 Знак"/>
    <w:rPr>
      <w:rFonts w:ascii="Times New Roman" w:hAnsi="Times New Roman" w:cs="Times New Roman"/>
      <w:sz w:val="20"/>
    </w:rPr>
  </w:style>
  <w:style w:type="character" w:customStyle="1" w:styleId="af3">
    <w:name w:val="Знак Знак"/>
    <w:rPr>
      <w:rFonts w:eastAsia="Times New Roman"/>
      <w:sz w:val="24"/>
      <w:lang w:val="ru-RU"/>
    </w:rPr>
  </w:style>
  <w:style w:type="character" w:customStyle="1" w:styleId="Heading1Char">
    <w:name w:val="Heading 1 Char"/>
    <w:basedOn w:val="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10"/>
    <w:rPr>
      <w:rFonts w:ascii="Arial" w:eastAsia="Times New Roman" w:hAnsi="Arial" w:cs="Times New Roman"/>
      <w:b/>
      <w:sz w:val="28"/>
      <w:szCs w:val="28"/>
    </w:rPr>
  </w:style>
  <w:style w:type="character" w:customStyle="1" w:styleId="BodyTextIndentChar">
    <w:name w:val="Body Text Indent Char"/>
    <w:basedOn w:val="10"/>
    <w:rPr>
      <w:rFonts w:ascii="Calibri" w:hAnsi="Calibri" w:cs="Times New Roman"/>
      <w:sz w:val="20"/>
      <w:szCs w:val="20"/>
    </w:rPr>
  </w:style>
  <w:style w:type="character" w:customStyle="1" w:styleId="HeaderChar">
    <w:name w:val="Header Char"/>
    <w:basedOn w:val="10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basedOn w:val="10"/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10"/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TitleChar">
    <w:name w:val="Title Char"/>
    <w:basedOn w:val="10"/>
    <w:rPr>
      <w:rFonts w:ascii="Times New Roman" w:eastAsia="Times New Roman" w:hAnsi="Times New Roman" w:cs="Times New Roman"/>
      <w:b/>
      <w:sz w:val="20"/>
      <w:szCs w:val="20"/>
      <w:u w:val="single"/>
      <w:lang w:bidi="ar-SA"/>
    </w:rPr>
  </w:style>
  <w:style w:type="character" w:customStyle="1" w:styleId="SubtitleChar">
    <w:name w:val="Subtitle Char"/>
    <w:basedOn w:val="10"/>
    <w:rPr>
      <w:rFonts w:ascii="Cambria" w:eastAsia="Times New Roman" w:hAnsi="Cambria" w:cs="Times New Roman"/>
      <w:i/>
      <w:iCs/>
      <w:color w:val="4F81BD"/>
      <w:spacing w:val="15"/>
      <w:sz w:val="24"/>
      <w:szCs w:val="24"/>
      <w:lang/>
    </w:rPr>
  </w:style>
  <w:style w:type="character" w:customStyle="1" w:styleId="BodyTextChar">
    <w:name w:val="Body Text Char"/>
    <w:basedOn w:val="10"/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BodyText2Char">
    <w:name w:val="Body Text 2 Char"/>
    <w:basedOn w:val="10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4">
    <w:name w:val="Основной текст с отступом 2 Знак"/>
    <w:basedOn w:val="10"/>
    <w:rPr>
      <w:rFonts w:eastAsia="Times New Roman"/>
      <w:sz w:val="22"/>
      <w:szCs w:val="22"/>
    </w:rPr>
  </w:style>
  <w:style w:type="character" w:customStyle="1" w:styleId="41">
    <w:name w:val="Заголовок 4 Знак"/>
    <w:basedOn w:val="1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2">
    <w:name w:val="Основной текст с отступом 3 Знак"/>
    <w:basedOn w:val="10"/>
    <w:rPr>
      <w:rFonts w:eastAsia="Times New Roman"/>
      <w:sz w:val="16"/>
      <w:szCs w:val="16"/>
    </w:rPr>
  </w:style>
  <w:style w:type="character" w:styleId="af4">
    <w:name w:val="Strong"/>
    <w:basedOn w:val="10"/>
    <w:qFormat/>
    <w:rPr>
      <w:b/>
      <w:bCs/>
    </w:rPr>
  </w:style>
  <w:style w:type="character" w:customStyle="1" w:styleId="af5">
    <w:name w:val="Основной текст_"/>
    <w:basedOn w:val="10"/>
    <w:rPr>
      <w:sz w:val="27"/>
      <w:szCs w:val="27"/>
    </w:rPr>
  </w:style>
  <w:style w:type="character" w:customStyle="1" w:styleId="25">
    <w:name w:val="Основной текст (2)_"/>
    <w:basedOn w:val="10"/>
    <w:rPr>
      <w:sz w:val="23"/>
      <w:szCs w:val="23"/>
    </w:rPr>
  </w:style>
  <w:style w:type="character" w:customStyle="1" w:styleId="ConsPlusTitle">
    <w:name w:val="ConsPlusTitle Знак"/>
    <w:basedOn w:val="10"/>
    <w:rPr>
      <w:rFonts w:cs="Calibri"/>
      <w:b/>
      <w:bCs/>
      <w:sz w:val="22"/>
      <w:szCs w:val="22"/>
      <w:lang w:val="ru-RU" w:bidi="ar-SA"/>
    </w:rPr>
  </w:style>
  <w:style w:type="paragraph" w:customStyle="1" w:styleId="af6">
    <w:name w:val="Заголовок"/>
    <w:basedOn w:val="a"/>
    <w:next w:val="af7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u w:val="single"/>
    </w:rPr>
  </w:style>
  <w:style w:type="paragraph" w:styleId="af8">
    <w:name w:val="Body Text"/>
    <w:basedOn w:val="a"/>
    <w:pPr>
      <w:spacing w:after="12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9">
    <w:name w:val="List"/>
    <w:basedOn w:val="af8"/>
    <w:rPr>
      <w:rFonts w:cs="Arial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6">
    <w:name w:val="Указатель2"/>
    <w:basedOn w:val="a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styleId="a0">
    <w:name w:val="Body Text Indent"/>
    <w:basedOn w:val="a"/>
    <w:pPr>
      <w:spacing w:after="120"/>
      <w:ind w:left="283"/>
    </w:pPr>
    <w:rPr>
      <w:sz w:val="20"/>
      <w:szCs w:val="20"/>
    </w:rPr>
  </w:style>
  <w:style w:type="paragraph" w:customStyle="1" w:styleId="15">
    <w:name w:val="Знак1 Знак Знак Знак"/>
    <w:basedOn w:val="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c">
    <w:name w:val="Комментарий"/>
    <w:basedOn w:val="a"/>
    <w:next w:val="a"/>
    <w:pPr>
      <w:widowControl w:val="0"/>
      <w:autoSpaceDE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d">
    <w:name w:val="Прижатый влево"/>
    <w:basedOn w:val="a"/>
    <w:next w:val="a"/>
    <w:pPr>
      <w:widowControl w:val="0"/>
      <w:autoSpaceDE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6">
    <w:name w:val="Абзац списка1"/>
    <w:basedOn w:val="a"/>
    <w:pPr>
      <w:ind w:left="720"/>
      <w:contextualSpacing/>
    </w:pPr>
    <w:rPr>
      <w:rFonts w:eastAsia="Calibri"/>
      <w:sz w:val="20"/>
      <w:szCs w:val="20"/>
      <w:lang/>
    </w:rPr>
  </w:style>
  <w:style w:type="paragraph" w:styleId="afe">
    <w:name w:val="header"/>
    <w:basedOn w:val="a"/>
    <w:pPr>
      <w:spacing w:after="0" w:line="240" w:lineRule="auto"/>
    </w:pPr>
    <w:rPr>
      <w:sz w:val="20"/>
      <w:szCs w:val="20"/>
    </w:rPr>
  </w:style>
  <w:style w:type="paragraph" w:styleId="aff">
    <w:name w:val="footer"/>
    <w:basedOn w:val="a"/>
    <w:pPr>
      <w:spacing w:after="0" w:line="240" w:lineRule="auto"/>
    </w:pPr>
    <w:rPr>
      <w:sz w:val="20"/>
      <w:szCs w:val="20"/>
    </w:rPr>
  </w:style>
  <w:style w:type="paragraph" w:styleId="aff0">
    <w:name w:val="Balloon Text"/>
    <w:basedOn w:val="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17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8">
    <w:name w:val="Заголовок оглавления1"/>
    <w:basedOn w:val="1"/>
    <w:next w:val="a"/>
    <w:pPr>
      <w:keepNext/>
      <w:keepLines/>
      <w:widowControl/>
      <w:numPr>
        <w:numId w:val="0"/>
      </w:numPr>
      <w:autoSpaceDE/>
      <w:spacing w:before="480" w:after="0" w:line="276" w:lineRule="auto"/>
      <w:jc w:val="left"/>
    </w:pPr>
    <w:rPr>
      <w:rFonts w:ascii="Cambria" w:eastAsia="Calibri" w:hAnsi="Cambria" w:cs="Times New Roman"/>
      <w:color w:val="365F91"/>
      <w:sz w:val="28"/>
      <w:szCs w:val="28"/>
    </w:rPr>
  </w:style>
  <w:style w:type="paragraph" w:styleId="19">
    <w:name w:val="toc 1"/>
    <w:basedOn w:val="a"/>
    <w:next w:val="a"/>
    <w:pPr>
      <w:spacing w:after="100"/>
    </w:pPr>
    <w:rPr>
      <w:rFonts w:eastAsia="Calibri"/>
    </w:rPr>
  </w:style>
  <w:style w:type="paragraph" w:styleId="27">
    <w:name w:val="toc 2"/>
    <w:basedOn w:val="a"/>
    <w:next w:val="a"/>
    <w:pPr>
      <w:spacing w:after="100"/>
      <w:ind w:left="220"/>
    </w:pPr>
    <w:rPr>
      <w:rFonts w:eastAsia="Calibri"/>
    </w:rPr>
  </w:style>
  <w:style w:type="paragraph" w:styleId="aff1">
    <w:name w:val="footnote text"/>
    <w:basedOn w:val="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21">
    <w:name w:val="заголовок 221"/>
    <w:basedOn w:val="1"/>
    <w:next w:val="2"/>
    <w:pPr>
      <w:keepNext/>
      <w:widowControl/>
      <w:numPr>
        <w:numId w:val="0"/>
      </w:numPr>
      <w:autoSpaceDE/>
      <w:spacing w:before="0" w:after="360" w:line="360" w:lineRule="auto"/>
      <w:jc w:val="left"/>
    </w:pPr>
    <w:rPr>
      <w:rFonts w:ascii="Times New Roman" w:eastAsia="Calibri" w:hAnsi="Times New Roman" w:cs="Times New Roman"/>
      <w:b w:val="0"/>
      <w:bCs w:val="0"/>
      <w:color w:val="auto"/>
      <w:spacing w:val="20"/>
      <w:kern w:val="1"/>
      <w:sz w:val="32"/>
      <w:szCs w:val="32"/>
    </w:rPr>
  </w:style>
  <w:style w:type="paragraph" w:styleId="af7">
    <w:name w:val="Subtitle"/>
    <w:basedOn w:val="a"/>
    <w:next w:val="a"/>
    <w:qFormat/>
    <w:pPr>
      <w:spacing w:after="0" w:line="240" w:lineRule="auto"/>
    </w:pPr>
    <w:rPr>
      <w:rFonts w:ascii="Cambria" w:eastAsia="Calibri" w:hAnsi="Cambria" w:cs="Cambria"/>
      <w:i/>
      <w:iCs/>
      <w:color w:val="4F81BD"/>
      <w:spacing w:val="15"/>
      <w:sz w:val="24"/>
      <w:szCs w:val="24"/>
    </w:rPr>
  </w:style>
  <w:style w:type="paragraph" w:styleId="aff2">
    <w:name w:val="Normal (Web)"/>
    <w:basedOn w:val="a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20">
    <w:name w:val="Основной текст 22"/>
    <w:basedOn w:val="a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aff3">
    <w:name w:val="Таблицы (моноширинный)"/>
    <w:basedOn w:val="a"/>
    <w:next w:val="a"/>
    <w:pPr>
      <w:widowControl w:val="0"/>
      <w:autoSpaceDE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Style">
    <w:name w:val="Style"/>
    <w:pPr>
      <w:widowControl w:val="0"/>
      <w:suppressAutoHyphens/>
      <w:autoSpaceDE w:val="0"/>
      <w:ind w:left="34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aff4">
    <w:name w:val="Знак"/>
    <w:basedOn w:val="a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a">
    <w:name w:val="Текст1"/>
    <w:basedOn w:val="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0">
    <w:name w:val="consplusnormal"/>
    <w:basedOn w:val="a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0">
    <w:name w:val="ConsPlusTitle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customStyle="1" w:styleId="1b">
    <w:name w:val="Знак1"/>
    <w:basedOn w:val="a"/>
    <w:next w:val="a"/>
    <w:pPr>
      <w:widowControl w:val="0"/>
      <w:autoSpaceDE w:val="0"/>
      <w:spacing w:after="160" w:line="240" w:lineRule="exact"/>
      <w:ind w:firstLine="720"/>
      <w:jc w:val="both"/>
    </w:pPr>
    <w:rPr>
      <w:rFonts w:ascii="Arial" w:eastAsia="Calibri" w:hAnsi="Arial" w:cs="Arial"/>
      <w:sz w:val="20"/>
      <w:szCs w:val="20"/>
      <w:lang w:val="en-US"/>
    </w:rPr>
  </w:style>
  <w:style w:type="paragraph" w:customStyle="1" w:styleId="aff5">
    <w:name w:val="Знак Знак Знак Знак Знак Знак Знак Знак Знак Знак"/>
    <w:basedOn w:val="a"/>
    <w:pPr>
      <w:spacing w:before="280" w:after="280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f6">
    <w:name w:val="Внимание: криминал!!"/>
    <w:basedOn w:val="a"/>
    <w:next w:val="a"/>
    <w:pPr>
      <w:widowControl w:val="0"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styleId="aff7">
    <w:name w:val="List Paragraph"/>
    <w:basedOn w:val="a"/>
    <w:qFormat/>
    <w:pPr>
      <w:ind w:left="720"/>
      <w:contextualSpacing/>
    </w:pPr>
    <w:rPr>
      <w:rFonts w:eastAsia="Calibri"/>
    </w:rPr>
  </w:style>
  <w:style w:type="paragraph" w:styleId="aff8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1c">
    <w:name w:val="Заголовок таблицы ссылок1"/>
    <w:basedOn w:val="1"/>
    <w:next w:val="a"/>
    <w:pPr>
      <w:keepNext/>
      <w:keepLines/>
      <w:widowControl/>
      <w:numPr>
        <w:numId w:val="0"/>
      </w:numPr>
      <w:autoSpaceDE/>
      <w:spacing w:before="480" w:after="0" w:line="276" w:lineRule="auto"/>
      <w:jc w:val="left"/>
    </w:pPr>
    <w:rPr>
      <w:rFonts w:ascii="Cambria" w:hAnsi="Cambria" w:cs="Times New Roman"/>
      <w:color w:val="365F91"/>
      <w:sz w:val="28"/>
      <w:szCs w:val="28"/>
    </w:rPr>
  </w:style>
  <w:style w:type="paragraph" w:customStyle="1" w:styleId="210">
    <w:name w:val="Основной текст с отступом 21"/>
    <w:basedOn w:val="a"/>
    <w:pPr>
      <w:spacing w:after="0" w:line="240" w:lineRule="auto"/>
      <w:ind w:left="284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22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42">
    <w:name w:val="Основной текст4"/>
    <w:basedOn w:val="a"/>
    <w:pPr>
      <w:widowControl w:val="0"/>
      <w:spacing w:after="0" w:line="0" w:lineRule="atLeast"/>
    </w:pPr>
    <w:rPr>
      <w:rFonts w:eastAsia="Calibri"/>
      <w:sz w:val="27"/>
      <w:szCs w:val="27"/>
    </w:rPr>
  </w:style>
  <w:style w:type="paragraph" w:customStyle="1" w:styleId="28">
    <w:name w:val="Основной текст (2)"/>
    <w:basedOn w:val="a"/>
    <w:pPr>
      <w:widowControl w:val="0"/>
      <w:spacing w:after="0" w:line="274" w:lineRule="exact"/>
    </w:pPr>
    <w:rPr>
      <w:rFonts w:eastAsia="Calibri"/>
      <w:sz w:val="23"/>
      <w:szCs w:val="23"/>
    </w:rPr>
  </w:style>
  <w:style w:type="paragraph" w:customStyle="1" w:styleId="tekstob">
    <w:name w:val="tekstob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aff9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hAnsi="Times New Roman" w:cs="Times New Roman"/>
      <w:kern w:val="1"/>
      <w:sz w:val="28"/>
      <w:szCs w:val="28"/>
    </w:rPr>
  </w:style>
  <w:style w:type="paragraph" w:customStyle="1" w:styleId="affa">
    <w:name w:val="Заголовок таблицы"/>
    <w:basedOn w:val="aff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4156</Words>
  <Characters>23691</Characters>
  <Application>Microsoft Office Word</Application>
  <DocSecurity>0</DocSecurity>
  <Lines>197</Lines>
  <Paragraphs>55</Paragraphs>
  <ScaleCrop>false</ScaleCrop>
  <Company/>
  <LinksUpToDate>false</LinksUpToDate>
  <CharactersWithSpaces>27792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Хозяин</cp:lastModifiedBy>
  <cp:revision>2</cp:revision>
  <cp:lastPrinted>2018-02-01T07:09:00Z</cp:lastPrinted>
  <dcterms:created xsi:type="dcterms:W3CDTF">2022-05-26T13:26:00Z</dcterms:created>
  <dcterms:modified xsi:type="dcterms:W3CDTF">2022-05-26T13:26:00Z</dcterms:modified>
</cp:coreProperties>
</file>