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FE" w:rsidRPr="003318FE" w:rsidRDefault="003318FE" w:rsidP="003318FE">
      <w:pPr>
        <w:pStyle w:val="ConsPlusTitle"/>
        <w:widowControl/>
        <w:ind w:left="360"/>
        <w:jc w:val="both"/>
        <w:rPr>
          <w:rFonts w:ascii="Times New Roman" w:eastAsia="Times New Roman" w:hAnsi="Times New Roman" w:cs="Times New Roman"/>
          <w:b w:val="0"/>
          <w:bCs w:val="0"/>
          <w:color w:val="3B2D36"/>
          <w:sz w:val="28"/>
          <w:szCs w:val="28"/>
        </w:rPr>
      </w:pPr>
    </w:p>
    <w:p w:rsidR="00704E31" w:rsidRPr="003318FE" w:rsidRDefault="00704E31" w:rsidP="003318FE">
      <w:pPr>
        <w:shd w:val="clear" w:color="auto" w:fill="FCFEFF"/>
        <w:jc w:val="center"/>
        <w:rPr>
          <w:rFonts w:eastAsia="Times New Roman"/>
          <w:b/>
          <w:color w:val="3B2D36"/>
          <w:szCs w:val="28"/>
          <w:lang w:eastAsia="ru-RU"/>
        </w:rPr>
      </w:pPr>
      <w:r w:rsidRPr="003318FE">
        <w:rPr>
          <w:rFonts w:eastAsia="Times New Roman"/>
          <w:b/>
          <w:bCs/>
          <w:color w:val="3B2D36"/>
          <w:szCs w:val="28"/>
          <w:lang w:eastAsia="ru-RU"/>
        </w:rPr>
        <w:t>Перечень и периодичность размещения информации</w:t>
      </w:r>
    </w:p>
    <w:p w:rsidR="00704E31" w:rsidRPr="003318FE" w:rsidRDefault="00704E31" w:rsidP="003318FE">
      <w:pPr>
        <w:shd w:val="clear" w:color="auto" w:fill="FCFEFF"/>
        <w:jc w:val="center"/>
        <w:rPr>
          <w:rFonts w:eastAsia="Times New Roman"/>
          <w:b/>
          <w:color w:val="3B2D36"/>
          <w:szCs w:val="28"/>
          <w:lang w:eastAsia="ru-RU"/>
        </w:rPr>
      </w:pPr>
      <w:r w:rsidRPr="003318FE">
        <w:rPr>
          <w:rFonts w:eastAsia="Times New Roman"/>
          <w:b/>
          <w:bCs/>
          <w:color w:val="3B2D36"/>
          <w:szCs w:val="28"/>
          <w:lang w:eastAsia="ru-RU"/>
        </w:rPr>
        <w:t xml:space="preserve">о деятельности </w:t>
      </w:r>
      <w:r w:rsidR="003318FE">
        <w:rPr>
          <w:rFonts w:eastAsia="Times New Roman"/>
          <w:b/>
          <w:bCs/>
          <w:color w:val="3B2D36"/>
          <w:szCs w:val="28"/>
          <w:lang w:eastAsia="ru-RU"/>
        </w:rPr>
        <w:t>органов местного самоуправления Лаганского городского</w:t>
      </w:r>
      <w:r w:rsidRPr="003318FE">
        <w:rPr>
          <w:rFonts w:eastAsia="Times New Roman"/>
          <w:b/>
          <w:bCs/>
          <w:color w:val="3B2D36"/>
          <w:szCs w:val="28"/>
          <w:lang w:eastAsia="ru-RU"/>
        </w:rPr>
        <w:t xml:space="preserve"> муниципального образования</w:t>
      </w:r>
      <w:r w:rsidR="003318FE">
        <w:rPr>
          <w:rFonts w:eastAsia="Times New Roman"/>
          <w:b/>
          <w:bCs/>
          <w:color w:val="3B2D36"/>
          <w:szCs w:val="28"/>
          <w:lang w:eastAsia="ru-RU"/>
        </w:rPr>
        <w:t xml:space="preserve"> Республики Калмыкия</w:t>
      </w:r>
      <w:r w:rsidRPr="003318FE">
        <w:rPr>
          <w:rFonts w:eastAsia="Times New Roman"/>
          <w:b/>
          <w:bCs/>
          <w:color w:val="3B2D36"/>
          <w:szCs w:val="28"/>
          <w:lang w:eastAsia="ru-RU"/>
        </w:rPr>
        <w:t>,</w:t>
      </w:r>
    </w:p>
    <w:p w:rsidR="00704E31" w:rsidRDefault="00704E31" w:rsidP="003318FE">
      <w:pPr>
        <w:shd w:val="clear" w:color="auto" w:fill="FCFEFF"/>
        <w:jc w:val="center"/>
        <w:rPr>
          <w:rFonts w:eastAsia="Times New Roman"/>
          <w:b/>
          <w:bCs/>
          <w:color w:val="3B2D36"/>
          <w:szCs w:val="28"/>
          <w:lang w:eastAsia="ru-RU"/>
        </w:rPr>
      </w:pPr>
      <w:proofErr w:type="gramStart"/>
      <w:r w:rsidRPr="003318FE">
        <w:rPr>
          <w:rFonts w:eastAsia="Times New Roman"/>
          <w:b/>
          <w:bCs/>
          <w:color w:val="3B2D36"/>
          <w:szCs w:val="28"/>
          <w:lang w:eastAsia="ru-RU"/>
        </w:rPr>
        <w:t>размещаемой в сети Интернет</w:t>
      </w:r>
      <w:proofErr w:type="gramEnd"/>
    </w:p>
    <w:p w:rsidR="003318FE" w:rsidRPr="003318FE" w:rsidRDefault="003318FE" w:rsidP="003318FE">
      <w:pPr>
        <w:shd w:val="clear" w:color="auto" w:fill="FCFEFF"/>
        <w:jc w:val="center"/>
        <w:rPr>
          <w:rFonts w:eastAsia="Times New Roman"/>
          <w:b/>
          <w:color w:val="3B2D36"/>
          <w:szCs w:val="28"/>
          <w:lang w:eastAsia="ru-RU"/>
        </w:rPr>
      </w:pPr>
    </w:p>
    <w:tbl>
      <w:tblPr>
        <w:tblW w:w="9994" w:type="dxa"/>
        <w:jc w:val="center"/>
        <w:tblCellSpacing w:w="0" w:type="dxa"/>
        <w:tblInd w:w="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EFF"/>
        <w:tblCellMar>
          <w:left w:w="0" w:type="dxa"/>
          <w:right w:w="0" w:type="dxa"/>
        </w:tblCellMar>
        <w:tblLook w:val="04A0"/>
      </w:tblPr>
      <w:tblGrid>
        <w:gridCol w:w="5884"/>
        <w:gridCol w:w="4110"/>
      </w:tblGrid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jc w:val="center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Категория информации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jc w:val="center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Периодичность размещения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9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704E31" w:rsidRPr="00DD5B07" w:rsidRDefault="00704E31" w:rsidP="00DD5B07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 xml:space="preserve">I. Общая информация об </w:t>
            </w:r>
            <w:r w:rsid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органе местного самоуправления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DD5B07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1. 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Полное и сокращенное наименование</w:t>
            </w:r>
            <w:r w:rsid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 органа местного самоуправления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, почтовый адрес, адрес электронной почты для направления запросов пользователями информации и получения запрашиваемой информации, номер телефонов структурных подразделений, «телефон доверия».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proofErr w:type="gramStart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п</w:t>
            </w:r>
            <w:proofErr w:type="gramEnd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оддерживается в актуальном состоянии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DD5B07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2.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 Нормативные правовые акты, составляющие правовую основу деятельности </w:t>
            </w:r>
            <w:r w:rsid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органа местного самоуправления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в течение 5 рабочих дней со дня поступления нормативного акта в администрацию 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DD5B07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3.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 Структура </w:t>
            </w:r>
            <w:r w:rsid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в течение 5 рабочих дней со дня утверждения либо изменения структуры поддерживается в актуальном состоянии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4.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Сведения о Главе МО, главе администрации МО, его заместителях, руководителях структурных подразделений, а также руководителях муниципальных учреждений и предприятий: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1)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фамилии, имена, отчества, сведения об их полномочиях (компетенции).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9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 xml:space="preserve">II. Информация о нормотворческой деятельности </w:t>
            </w:r>
            <w:r w:rsid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органа местного самоуправления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5.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 Нормативные правовые акты </w:t>
            </w:r>
            <w:r w:rsid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органа местного самоуправления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, включая сведения о внесении в них изменений и признании их </w:t>
            </w:r>
            <w:proofErr w:type="gramStart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 силу.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6.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 Сведения о судебных постановлениях по делам о признании </w:t>
            </w:r>
            <w:proofErr w:type="gramStart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недействующими</w:t>
            </w:r>
            <w:proofErr w:type="gramEnd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 нормативных правовых актов </w:t>
            </w:r>
            <w:r w:rsid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органа местного самоуправления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: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1) перечень судебных постановлений, вынесенных по делам о признании </w:t>
            </w:r>
            <w:proofErr w:type="gramStart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недействующими</w:t>
            </w:r>
            <w:proofErr w:type="gramEnd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 нормативных правовых актов </w:t>
            </w:r>
            <w:r w:rsid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органа местного самоуправления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DD5B07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в течение 5 рабочих дней со дня поступления судебного постановления в </w:t>
            </w:r>
            <w:r w:rsid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орган местного самоуправления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.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7.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Административные регламенты и стандарты муниципальных услуг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в течение 5 рабочих дней со дня принятия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9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 xml:space="preserve">III. Информация о текущей деятельности </w:t>
            </w:r>
            <w:r w:rsid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органа местного самоуправления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DD5B07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8.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 Сведения о муниципальных услугах (функциях), предоставляемых (исполняемых) </w:t>
            </w:r>
            <w:r w:rsid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органом местного самоуправления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 и порядке их предоставления (исполнения).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в сроки, установленные Постановлением Правительства Российской Федерации от 15 июня 2009 г. N 478 "О единой системе информационно-справочной поддержки граждан и организаций по 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lastRenderedPageBreak/>
              <w:t>вопросам взаимодействия с органами исполнительной власти и органами местного самоуправления с использованием информационн</w:t>
            </w:r>
            <w:proofErr w:type="gramStart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о-</w:t>
            </w:r>
            <w:proofErr w:type="gramEnd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 телекоммуникационной сети Интернет"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lastRenderedPageBreak/>
              <w:t>9.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 Перечень муниципальных целевых программ, заказчиком или исполнителем которых является </w:t>
            </w:r>
            <w:r w:rsid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орган местного самоуправления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proofErr w:type="gramStart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п</w:t>
            </w:r>
            <w:proofErr w:type="gramEnd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оддерживается в актуальном состоянии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10.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Основные сведения о результатах реализации муниципальных целевых программ.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proofErr w:type="gramStart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е</w:t>
            </w:r>
            <w:proofErr w:type="gramEnd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11.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 Планы и показатели деятельности </w:t>
            </w:r>
            <w:r w:rsid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органа местного самоуправления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;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1)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паспорт МО;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2)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 ежегодный отчет о результатах деятельности </w:t>
            </w:r>
            <w:r w:rsid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органа местного самоуправления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в течение 5 рабочих дней со дня утверждения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12.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 Информационные и аналитические материалы (доклады, отчеты и обзоры информационного характера) о деятельности </w:t>
            </w:r>
            <w:r w:rsid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органа местного самоуправления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13.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 Информация об участии </w:t>
            </w:r>
            <w:r w:rsid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органа местного самоуправления</w:t>
            </w:r>
            <w:r w:rsidR="00DD5B07"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 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в международном сотрудничестве.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proofErr w:type="gramStart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п</w:t>
            </w:r>
            <w:proofErr w:type="gramEnd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оддерживается в актуальном состоянии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14.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 Информация об официальных визитах и о рабочих поездках руководителей и официальных делегаций </w:t>
            </w:r>
            <w:r w:rsid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органа местного самоуправления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, об официальных мероприятиях, организуемых </w:t>
            </w:r>
            <w:r w:rsid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органом местного самоуправления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, муниципальными учреждениями и предприятиями (заседания, встречи, брифинги, семинары, «круглые столы» и другие мероприятия).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Итоги официальных визитов, рабочих поездок, а также официальных мероприятий.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Анонсы предстоящих официальных визитов и рабочих поездок, официальных мероприятий и их итоги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в течение одного рабочего дня перед началом указанных мероприятий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 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в течение одного рабочего дня после окончания указанных мероприятий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в течение одного рабочего дня перед началом указанных мероприятий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15.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Тексты официальных выступлений и заявлений Главы МО, главы администрации МО, его заместителей, а также руководителей муниципальных учреждений и предприятий.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в течение одного рабочего дня со дня выступления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16.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Информация о состоянии защиты населения и территории МО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DD5B07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17.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 Информация о результатах проверок, проведенных </w:t>
            </w:r>
            <w:r w:rsid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lastRenderedPageBreak/>
              <w:t>органом местного самоуправления</w:t>
            </w:r>
            <w:r w:rsidR="00DD5B07"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 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в пределах своих полномочий.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proofErr w:type="gramStart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lastRenderedPageBreak/>
              <w:t>н</w:t>
            </w:r>
            <w:proofErr w:type="gramEnd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е позднее 5 рабочих дней со дня 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lastRenderedPageBreak/>
              <w:t>подписания актов проверок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lastRenderedPageBreak/>
              <w:t>18.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 Сведения о взаимодействии </w:t>
            </w:r>
            <w:r w:rsid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органа местного самоуправления</w:t>
            </w:r>
            <w:r w:rsidR="00DD5B07"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 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с общественными объединениями, политическими партиями, профессиональными союзами и другими организациями, в том числе международными: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1)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сведения о планируемых мероприятиях;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2)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сведения об итогах мероприятий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в течение одного дня,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предшествующего дню проведения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мероприятия</w:t>
            </w:r>
          </w:p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в течение одного дня со дня завершения мероприятия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19.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 Информация о размещении заказов на поставки товаров, выполнение работ и оказание услуг для муниципальных нужд, проводимых </w:t>
            </w:r>
            <w:r w:rsid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органом местного самоуправления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, муниципальными учреждениями, предприятиями.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proofErr w:type="gramStart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п</w:t>
            </w:r>
            <w:proofErr w:type="gramEnd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оддерживается в актуальном состоянии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DD5B07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20.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 План-график размещения заказов на поставки товаров, выполнение работ и оказание услуг для </w:t>
            </w:r>
            <w:r w:rsid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муниципальных нужд, проводимых органом местного самоуправления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, муниципальными учреждениями, предприятиями.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proofErr w:type="gramStart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е</w:t>
            </w:r>
            <w:proofErr w:type="gramEnd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9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vAlign w:val="center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IV. Информация о кадровом обеспечении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</w:t>
            </w:r>
            <w:r w:rsid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органа местного самоуправления</w:t>
            </w: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.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21. 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Порядок поступления граждан на муниципальную службу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22.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 xml:space="preserve"> Сведения о вакантных должностях муниципальной службы, имеющихся в </w:t>
            </w:r>
            <w:r w:rsid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органе местного самоуправления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в течение 3 рабочих дней после объявления вакантной должности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23.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Квалификационные требования к должностям муниципальной службы.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proofErr w:type="gramStart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п</w:t>
            </w:r>
            <w:proofErr w:type="gramEnd"/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оддерживается в актуальном состоянии</w:t>
            </w:r>
          </w:p>
        </w:tc>
      </w:tr>
      <w:tr w:rsidR="00704E31" w:rsidRPr="00BF3BA3" w:rsidTr="00704E31">
        <w:trPr>
          <w:tblCellSpacing w:w="0" w:type="dxa"/>
          <w:jc w:val="center"/>
        </w:trPr>
        <w:tc>
          <w:tcPr>
            <w:tcW w:w="5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b/>
                <w:bCs/>
                <w:color w:val="3B2D36"/>
                <w:sz w:val="24"/>
                <w:szCs w:val="24"/>
                <w:lang w:eastAsia="ru-RU"/>
              </w:rPr>
              <w:t>24.</w:t>
            </w: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 Условия и результаты конкурсов на замещение вакантных должностей муниципальной службы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EFF"/>
            <w:hideMark/>
          </w:tcPr>
          <w:p w:rsidR="00704E31" w:rsidRPr="00DD5B07" w:rsidRDefault="00704E31" w:rsidP="00704E31">
            <w:pPr>
              <w:spacing w:before="100" w:beforeAutospacing="1" w:after="100" w:afterAutospacing="1"/>
              <w:rPr>
                <w:rFonts w:eastAsia="Times New Roman"/>
                <w:color w:val="3B2D36"/>
                <w:sz w:val="24"/>
                <w:szCs w:val="24"/>
                <w:lang w:eastAsia="ru-RU"/>
              </w:rPr>
            </w:pPr>
            <w:r w:rsidRPr="00DD5B07">
              <w:rPr>
                <w:rFonts w:eastAsia="Times New Roman"/>
                <w:color w:val="3B2D36"/>
                <w:sz w:val="24"/>
                <w:szCs w:val="24"/>
                <w:lang w:eastAsia="ru-RU"/>
              </w:rPr>
              <w:t>поддерживается в актуальном состоянии</w:t>
            </w:r>
          </w:p>
        </w:tc>
      </w:tr>
    </w:tbl>
    <w:p w:rsidR="007B5BA6" w:rsidRDefault="007B5BA6" w:rsidP="007B5BA6">
      <w:pPr>
        <w:pStyle w:val="a5"/>
        <w:ind w:left="0" w:firstLine="720"/>
      </w:pPr>
    </w:p>
    <w:p w:rsidR="006920BC" w:rsidRDefault="00DD5B07" w:rsidP="007B5BA6">
      <w:pPr>
        <w:pStyle w:val="a5"/>
        <w:numPr>
          <w:ilvl w:val="0"/>
          <w:numId w:val="1"/>
        </w:numPr>
        <w:ind w:left="0" w:firstLine="360"/>
      </w:pPr>
      <w:r>
        <w:t>Обнародовать настоящее Постановление в специально установленных местах.</w:t>
      </w:r>
    </w:p>
    <w:p w:rsidR="00DD5B07" w:rsidRDefault="00DD5B07" w:rsidP="00DD5B07"/>
    <w:p w:rsidR="00DD5B07" w:rsidRDefault="00DD5B07" w:rsidP="00DD5B07"/>
    <w:p w:rsidR="007B5BA6" w:rsidRDefault="007B5BA6" w:rsidP="00DD5B07"/>
    <w:p w:rsidR="007B5BA6" w:rsidRDefault="007B5BA6" w:rsidP="00DD5B07"/>
    <w:p w:rsidR="00DD5B07" w:rsidRDefault="00DD5B07" w:rsidP="00DD5B07">
      <w:r>
        <w:t xml:space="preserve">Глава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Гиренко</w:t>
      </w:r>
      <w:proofErr w:type="spellEnd"/>
      <w:r>
        <w:t xml:space="preserve"> Н.В.</w:t>
      </w:r>
    </w:p>
    <w:sectPr w:rsidR="00DD5B07" w:rsidSect="0069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D26BF"/>
    <w:multiLevelType w:val="hybridMultilevel"/>
    <w:tmpl w:val="3AE4A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04E31"/>
    <w:rsid w:val="003318FE"/>
    <w:rsid w:val="00433C5D"/>
    <w:rsid w:val="005D50DE"/>
    <w:rsid w:val="006920BC"/>
    <w:rsid w:val="006A1954"/>
    <w:rsid w:val="00704E31"/>
    <w:rsid w:val="00712E12"/>
    <w:rsid w:val="00767765"/>
    <w:rsid w:val="007B5BA6"/>
    <w:rsid w:val="00BF3BA3"/>
    <w:rsid w:val="00D37E0F"/>
    <w:rsid w:val="00DD5B07"/>
    <w:rsid w:val="00E24A78"/>
    <w:rsid w:val="00F1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BC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E3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E31"/>
    <w:rPr>
      <w:b/>
      <w:bCs/>
    </w:rPr>
  </w:style>
  <w:style w:type="character" w:customStyle="1" w:styleId="apple-converted-space">
    <w:name w:val="apple-converted-space"/>
    <w:basedOn w:val="a0"/>
    <w:rsid w:val="00704E31"/>
  </w:style>
  <w:style w:type="paragraph" w:customStyle="1" w:styleId="ConsPlusTitle">
    <w:name w:val="ConsPlusTitle"/>
    <w:rsid w:val="003318F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DD5B07"/>
    <w:pPr>
      <w:ind w:left="720"/>
      <w:contextualSpacing/>
    </w:pPr>
  </w:style>
  <w:style w:type="table" w:styleId="a6">
    <w:name w:val="Table Grid"/>
    <w:basedOn w:val="a1"/>
    <w:rsid w:val="00433C5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Хозяин</cp:lastModifiedBy>
  <cp:revision>2</cp:revision>
  <cp:lastPrinted>2013-07-19T06:38:00Z</cp:lastPrinted>
  <dcterms:created xsi:type="dcterms:W3CDTF">2022-05-19T13:54:00Z</dcterms:created>
  <dcterms:modified xsi:type="dcterms:W3CDTF">2022-05-19T13:54:00Z</dcterms:modified>
</cp:coreProperties>
</file>